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宋体" w:cs="Times New Roman"/>
          <w:sz w:val="32"/>
          <w:szCs w:val="32"/>
          <w:u w:val="none"/>
          <w:lang w:val="en-US" w:eastAsia="zh-CN"/>
        </w:rPr>
      </w:pPr>
      <w:r>
        <w:rPr>
          <w:rFonts w:hint="eastAsia" w:ascii="宋体" w:hAnsi="宋体"/>
          <w:b/>
          <w:bCs/>
          <w:sz w:val="48"/>
          <w:szCs w:val="48"/>
          <w:highlight w:val="none"/>
          <w:u w:val="none"/>
        </w:rPr>
        <w:t>安徽省无岳高速配套新能源项目服务区充电</w:t>
      </w:r>
      <w:r>
        <w:rPr>
          <w:rFonts w:hint="eastAsia" w:ascii="宋体" w:hAnsi="宋体"/>
          <w:b/>
          <w:bCs/>
          <w:sz w:val="48"/>
          <w:szCs w:val="48"/>
          <w:highlight w:val="none"/>
          <w:u w:val="none"/>
          <w:lang w:val="en-US" w:eastAsia="zh-CN"/>
        </w:rPr>
        <w:t>桩</w:t>
      </w:r>
      <w:r>
        <w:rPr>
          <w:rFonts w:hint="eastAsia" w:ascii="宋体" w:hAnsi="宋体"/>
          <w:b/>
          <w:bCs/>
          <w:sz w:val="48"/>
          <w:szCs w:val="48"/>
          <w:highlight w:val="none"/>
          <w:u w:val="none"/>
        </w:rPr>
        <w:t>采购项目</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13"/>
        <w:rPr>
          <w:rFonts w:ascii="Times New Roman" w:hAnsi="Times New Roman" w:cs="Times New Roman"/>
          <w:szCs w:val="21"/>
        </w:rPr>
      </w:pPr>
    </w:p>
    <w:p>
      <w:pPr>
        <w:jc w:val="center"/>
        <w:rPr>
          <w:rFonts w:hint="eastAsia" w:ascii="Times New Roman" w:hAnsi="Times New Roman" w:eastAsia="黑体" w:cs="Times New Roman"/>
          <w:sz w:val="72"/>
          <w:szCs w:val="72"/>
          <w:lang w:eastAsia="zh-CN"/>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ascii="Times New Roman" w:hAnsi="Times New Roman" w:eastAsia="黑体" w:cs="Times New Roman"/>
          <w:sz w:val="32"/>
          <w:szCs w:val="32"/>
          <w:u w:val="single"/>
        </w:rPr>
      </w:pPr>
      <w:r>
        <w:rPr>
          <w:rFonts w:ascii="Times New Roman" w:hAnsi="Times New Roman" w:eastAsia="黑体" w:cs="Times New Roman"/>
          <w:sz w:val="32"/>
          <w:szCs w:val="32"/>
        </w:rPr>
        <w:t>采</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购</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人：</w:t>
      </w:r>
      <w:r>
        <w:rPr>
          <w:rFonts w:ascii="Times New Roman" w:hAnsi="Times New Roman" w:eastAsia="黑体" w:cs="Times New Roman"/>
          <w:sz w:val="32"/>
          <w:szCs w:val="32"/>
          <w:u w:val="single"/>
        </w:rPr>
        <w:t xml:space="preserve"> 安徽</w:t>
      </w:r>
      <w:r>
        <w:rPr>
          <w:rFonts w:hint="eastAsia" w:ascii="Times New Roman" w:hAnsi="Times New Roman" w:eastAsia="黑体" w:cs="Times New Roman"/>
          <w:sz w:val="32"/>
          <w:szCs w:val="32"/>
          <w:u w:val="single"/>
          <w:lang w:val="en-US" w:eastAsia="zh-CN"/>
        </w:rPr>
        <w:t>省经工物资</w:t>
      </w:r>
      <w:r>
        <w:rPr>
          <w:rFonts w:ascii="Times New Roman" w:hAnsi="Times New Roman" w:eastAsia="黑体" w:cs="Times New Roman"/>
          <w:sz w:val="32"/>
          <w:szCs w:val="32"/>
          <w:u w:val="single"/>
        </w:rPr>
        <w:t>有限公司</w:t>
      </w: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ascii="Times New Roman" w:hAnsi="Times New Roman" w:cs="Times New Roman"/>
          <w:sz w:val="32"/>
          <w:szCs w:val="32"/>
        </w:rPr>
      </w:pPr>
      <w:r>
        <w:rPr>
          <w:rFonts w:hint="eastAsia" w:ascii="黑体" w:hAnsi="黑体" w:eastAsia="黑体" w:cs="黑体"/>
          <w:sz w:val="32"/>
          <w:szCs w:val="32"/>
          <w:lang w:val="en-US" w:eastAsia="zh-CN"/>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2023  </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9 </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月</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15</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Times New Roman" w:hAnsi="Times New Roman" w:cs="Times New Roman"/>
          <w:sz w:val="32"/>
          <w:szCs w:val="32"/>
        </w:rPr>
      </w:pPr>
    </w:p>
    <w:p>
      <w:pPr>
        <w:snapToGrid w:val="0"/>
        <w:ind w:firstLine="1920" w:firstLineChars="600"/>
        <w:rPr>
          <w:rFonts w:ascii="Times New Roman" w:hAnsi="Times New Roman" w:cs="Times New Roman"/>
          <w:sz w:val="32"/>
          <w:szCs w:val="32"/>
        </w:rPr>
      </w:pPr>
    </w:p>
    <w:p>
      <w:pPr>
        <w:ind w:left="1896" w:leftChars="903"/>
        <w:rPr>
          <w:rFonts w:ascii="Times New Roman" w:hAnsi="Times New Roman" w:eastAsia="宋体" w:cs="Times New Roman"/>
          <w:sz w:val="24"/>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heme="minorBidi"/>
          <w:kern w:val="2"/>
          <w:sz w:val="21"/>
          <w:szCs w:val="24"/>
          <w:lang w:val="en-US" w:eastAsia="zh-CN" w:bidi="ar-SA"/>
        </w:rPr>
        <w:id w:val="147468455"/>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5"/>
            <w:tabs>
              <w:tab w:val="right" w:leader="dot" w:pos="8312"/>
            </w:tabs>
          </w:pPr>
          <w:r>
            <w:rPr>
              <w:rFonts w:ascii="宋体" w:hAnsi="宋体" w:eastAsia="宋体"/>
            </w:rPr>
            <w:fldChar w:fldCharType="begin"/>
          </w:r>
          <w:r>
            <w:rPr>
              <w:rFonts w:ascii="宋体" w:hAnsi="宋体" w:eastAsia="宋体"/>
            </w:rPr>
            <w:instrText xml:space="preserve">TOC \o "1-1" \h \u </w:instrText>
          </w:r>
          <w:r>
            <w:rPr>
              <w:rFonts w:ascii="宋体" w:hAnsi="宋体" w:eastAsia="宋体"/>
            </w:rPr>
            <w:fldChar w:fldCharType="separate"/>
          </w:r>
          <w:r>
            <w:rPr>
              <w:rFonts w:ascii="宋体" w:hAnsi="宋体" w:eastAsia="宋体"/>
            </w:rPr>
            <w:fldChar w:fldCharType="begin"/>
          </w:r>
          <w:r>
            <w:rPr>
              <w:rFonts w:ascii="宋体" w:hAnsi="宋体" w:eastAsia="宋体"/>
            </w:rPr>
            <w:instrText xml:space="preserve"> HYPERLINK \l _Toc25101 </w:instrText>
          </w:r>
          <w:r>
            <w:rPr>
              <w:rFonts w:ascii="宋体" w:hAnsi="宋体" w:eastAsia="宋体"/>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采购公告</w:t>
          </w:r>
          <w:r>
            <w:tab/>
          </w:r>
          <w:r>
            <w:fldChar w:fldCharType="begin"/>
          </w:r>
          <w:r>
            <w:instrText xml:space="preserve"> PAGEREF _Toc25101 \h </w:instrText>
          </w:r>
          <w:r>
            <w:fldChar w:fldCharType="separate"/>
          </w:r>
          <w:r>
            <w:t>3</w:t>
          </w:r>
          <w:r>
            <w:fldChar w:fldCharType="end"/>
          </w:r>
          <w:r>
            <w:rPr>
              <w:rFonts w:ascii="宋体" w:hAnsi="宋体" w:eastAsia="宋体"/>
            </w:rPr>
            <w:fldChar w:fldCharType="end"/>
          </w:r>
        </w:p>
        <w:p>
          <w:pPr>
            <w:pStyle w:val="15"/>
            <w:tabs>
              <w:tab w:val="right" w:leader="dot" w:pos="8312"/>
            </w:tabs>
          </w:pPr>
          <w:r>
            <w:rPr>
              <w:rFonts w:ascii="宋体" w:hAnsi="宋体" w:eastAsia="宋体"/>
            </w:rPr>
            <w:fldChar w:fldCharType="begin"/>
          </w:r>
          <w:r>
            <w:rPr>
              <w:rFonts w:ascii="宋体" w:hAnsi="宋体" w:eastAsia="宋体"/>
            </w:rPr>
            <w:instrText xml:space="preserve"> HYPERLINK \l _Toc8695 </w:instrText>
          </w:r>
          <w:r>
            <w:rPr>
              <w:rFonts w:ascii="宋体" w:hAnsi="宋体" w:eastAsia="宋体"/>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rPr>
            <w:t>供应商须知</w:t>
          </w:r>
          <w:r>
            <w:tab/>
          </w:r>
          <w:r>
            <w:fldChar w:fldCharType="begin"/>
          </w:r>
          <w:r>
            <w:instrText xml:space="preserve"> PAGEREF _Toc8695 \h </w:instrText>
          </w:r>
          <w:r>
            <w:fldChar w:fldCharType="separate"/>
          </w:r>
          <w:r>
            <w:t>6</w:t>
          </w:r>
          <w:r>
            <w:fldChar w:fldCharType="end"/>
          </w:r>
          <w:r>
            <w:rPr>
              <w:rFonts w:ascii="宋体" w:hAnsi="宋体" w:eastAsia="宋体"/>
            </w:rPr>
            <w:fldChar w:fldCharType="end"/>
          </w:r>
        </w:p>
        <w:p>
          <w:pPr>
            <w:pStyle w:val="15"/>
            <w:tabs>
              <w:tab w:val="right" w:leader="dot" w:pos="8312"/>
            </w:tabs>
          </w:pPr>
          <w:r>
            <w:rPr>
              <w:rFonts w:ascii="宋体" w:hAnsi="宋体" w:eastAsia="宋体"/>
            </w:rPr>
            <w:fldChar w:fldCharType="begin"/>
          </w:r>
          <w:r>
            <w:rPr>
              <w:rFonts w:ascii="宋体" w:hAnsi="宋体" w:eastAsia="宋体"/>
            </w:rPr>
            <w:instrText xml:space="preserve"> HYPERLINK \l _Toc18630 </w:instrText>
          </w:r>
          <w:r>
            <w:rPr>
              <w:rFonts w:ascii="宋体" w:hAnsi="宋体" w:eastAsia="宋体"/>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rPr>
            <w:t>评审办法</w:t>
          </w:r>
          <w:r>
            <w:tab/>
          </w:r>
          <w:r>
            <w:fldChar w:fldCharType="begin"/>
          </w:r>
          <w:r>
            <w:instrText xml:space="preserve"> PAGEREF _Toc18630 \h </w:instrText>
          </w:r>
          <w:r>
            <w:fldChar w:fldCharType="separate"/>
          </w:r>
          <w:r>
            <w:t>15</w:t>
          </w:r>
          <w:r>
            <w:fldChar w:fldCharType="end"/>
          </w:r>
          <w:r>
            <w:rPr>
              <w:rFonts w:ascii="宋体" w:hAnsi="宋体" w:eastAsia="宋体"/>
            </w:rPr>
            <w:fldChar w:fldCharType="end"/>
          </w:r>
        </w:p>
        <w:p>
          <w:pPr>
            <w:pStyle w:val="15"/>
            <w:tabs>
              <w:tab w:val="right" w:leader="dot" w:pos="8312"/>
            </w:tabs>
          </w:pPr>
          <w:r>
            <w:rPr>
              <w:rFonts w:ascii="宋体" w:hAnsi="宋体" w:eastAsia="宋体"/>
            </w:rPr>
            <w:fldChar w:fldCharType="begin"/>
          </w:r>
          <w:r>
            <w:rPr>
              <w:rFonts w:ascii="宋体" w:hAnsi="宋体" w:eastAsia="宋体"/>
            </w:rPr>
            <w:instrText xml:space="preserve"> HYPERLINK \l _Toc27362 </w:instrText>
          </w:r>
          <w:r>
            <w:rPr>
              <w:rFonts w:ascii="宋体" w:hAnsi="宋体" w:eastAsia="宋体"/>
            </w:rPr>
            <w:fldChar w:fldCharType="separate"/>
          </w:r>
          <w:r>
            <w:rPr>
              <w:rFonts w:hint="eastAsia" w:ascii="Times New Roman" w:hAnsi="Times New Roman" w:eastAsia="宋体" w:cs="Times New Roman"/>
              <w:lang w:val="en-US" w:eastAsia="zh-CN"/>
            </w:rPr>
            <w:t xml:space="preserve">第四章 </w:t>
          </w:r>
          <w:r>
            <w:rPr>
              <w:rFonts w:ascii="Times New Roman" w:hAnsi="Times New Roman" w:eastAsia="宋体" w:cs="Times New Roman"/>
            </w:rPr>
            <w:t>合同内容</w:t>
          </w:r>
          <w:r>
            <w:tab/>
          </w:r>
          <w:r>
            <w:fldChar w:fldCharType="begin"/>
          </w:r>
          <w:r>
            <w:instrText xml:space="preserve"> PAGEREF _Toc27362 \h </w:instrText>
          </w:r>
          <w:r>
            <w:fldChar w:fldCharType="separate"/>
          </w:r>
          <w:r>
            <w:t>24</w:t>
          </w:r>
          <w:r>
            <w:fldChar w:fldCharType="end"/>
          </w:r>
          <w:r>
            <w:rPr>
              <w:rFonts w:ascii="宋体" w:hAnsi="宋体" w:eastAsia="宋体"/>
            </w:rPr>
            <w:fldChar w:fldCharType="end"/>
          </w:r>
        </w:p>
        <w:p>
          <w:pPr>
            <w:pStyle w:val="15"/>
            <w:tabs>
              <w:tab w:val="right" w:leader="dot" w:pos="8312"/>
            </w:tabs>
          </w:pPr>
          <w:r>
            <w:rPr>
              <w:rFonts w:ascii="宋体" w:hAnsi="宋体" w:eastAsia="宋体"/>
            </w:rPr>
            <w:fldChar w:fldCharType="begin"/>
          </w:r>
          <w:r>
            <w:rPr>
              <w:rFonts w:ascii="宋体" w:hAnsi="宋体" w:eastAsia="宋体"/>
            </w:rPr>
            <w:instrText xml:space="preserve"> HYPERLINK \l _Toc8803 </w:instrText>
          </w:r>
          <w:r>
            <w:rPr>
              <w:rFonts w:ascii="宋体" w:hAnsi="宋体" w:eastAsia="宋体"/>
            </w:rPr>
            <w:fldChar w:fldCharType="separate"/>
          </w:r>
          <w:r>
            <w:rPr>
              <w:rFonts w:hint="eastAsia" w:ascii="Times New Roman" w:hAnsi="Times New Roman" w:eastAsia="宋体" w:cs="Times New Roman"/>
              <w:lang w:val="en-US" w:eastAsia="zh-CN"/>
            </w:rPr>
            <w:t>第五章 供货要</w:t>
          </w:r>
          <w:r>
            <w:rPr>
              <w:rFonts w:ascii="Times New Roman" w:hAnsi="Times New Roman" w:eastAsia="宋体" w:cs="Times New Roman"/>
            </w:rPr>
            <w:t>求及清单</w:t>
          </w:r>
          <w:r>
            <w:tab/>
          </w:r>
          <w:r>
            <w:fldChar w:fldCharType="begin"/>
          </w:r>
          <w:r>
            <w:instrText xml:space="preserve"> PAGEREF _Toc8803 \h </w:instrText>
          </w:r>
          <w:r>
            <w:fldChar w:fldCharType="separate"/>
          </w:r>
          <w:r>
            <w:t>38</w:t>
          </w:r>
          <w:r>
            <w:fldChar w:fldCharType="end"/>
          </w:r>
          <w:r>
            <w:rPr>
              <w:rFonts w:ascii="宋体" w:hAnsi="宋体" w:eastAsia="宋体"/>
            </w:rPr>
            <w:fldChar w:fldCharType="end"/>
          </w:r>
        </w:p>
        <w:p>
          <w:pPr>
            <w:pStyle w:val="15"/>
            <w:tabs>
              <w:tab w:val="right" w:leader="dot" w:pos="8312"/>
            </w:tabs>
          </w:pPr>
          <w:r>
            <w:rPr>
              <w:rFonts w:ascii="宋体" w:hAnsi="宋体" w:eastAsia="宋体"/>
            </w:rPr>
            <w:fldChar w:fldCharType="begin"/>
          </w:r>
          <w:r>
            <w:rPr>
              <w:rFonts w:ascii="宋体" w:hAnsi="宋体" w:eastAsia="宋体"/>
            </w:rPr>
            <w:instrText xml:space="preserve"> HYPERLINK \l _Toc15893 </w:instrText>
          </w:r>
          <w:r>
            <w:rPr>
              <w:rFonts w:ascii="宋体" w:hAnsi="宋体" w:eastAsia="宋体"/>
            </w:rPr>
            <w:fldChar w:fldCharType="separate"/>
          </w:r>
          <w:r>
            <w:rPr>
              <w:rFonts w:hint="eastAsia" w:ascii="Times New Roman" w:hAnsi="Times New Roman" w:eastAsia="宋体" w:cs="Times New Roman"/>
              <w:lang w:val="en-US" w:eastAsia="zh-CN"/>
            </w:rPr>
            <w:t xml:space="preserve">第六章 </w:t>
          </w:r>
          <w:r>
            <w:rPr>
              <w:rFonts w:hint="eastAsia" w:ascii="Times New Roman" w:hAnsi="Times New Roman" w:eastAsia="宋体" w:cs="Times New Roman"/>
            </w:rPr>
            <w:t>响应文件格式</w:t>
          </w:r>
          <w:r>
            <w:tab/>
          </w:r>
          <w:r>
            <w:fldChar w:fldCharType="begin"/>
          </w:r>
          <w:r>
            <w:instrText xml:space="preserve"> PAGEREF _Toc15893 \h </w:instrText>
          </w:r>
          <w:r>
            <w:fldChar w:fldCharType="separate"/>
          </w:r>
          <w:r>
            <w:t>43</w:t>
          </w:r>
          <w:r>
            <w:fldChar w:fldCharType="end"/>
          </w:r>
          <w:r>
            <w:rPr>
              <w:rFonts w:ascii="宋体" w:hAnsi="宋体" w:eastAsia="宋体"/>
            </w:rPr>
            <w:fldChar w:fldCharType="end"/>
          </w:r>
        </w:p>
        <w:p>
          <w:pPr>
            <w:jc w:val="center"/>
            <w:rPr>
              <w:rFonts w:ascii="宋体" w:hAnsi="宋体" w:eastAsia="宋体"/>
            </w:rPr>
          </w:pPr>
          <w:r>
            <w:rPr>
              <w:rFonts w:ascii="宋体" w:hAnsi="宋体" w:eastAsia="宋体"/>
            </w:rPr>
            <w:fldChar w:fldCharType="end"/>
          </w:r>
        </w:p>
      </w:sdtContent>
    </w:sdt>
    <w:p>
      <w:pPr>
        <w:jc w:val="center"/>
        <w:rPr>
          <w:rFonts w:ascii="宋体" w:hAnsi="宋体" w:eastAsia="宋体"/>
        </w:rPr>
      </w:pPr>
    </w:p>
    <w:p>
      <w:pPr>
        <w:jc w:val="center"/>
        <w:rPr>
          <w:rFonts w:ascii="宋体" w:hAnsi="宋体" w:eastAsia="宋体"/>
        </w:rPr>
      </w:pPr>
    </w:p>
    <w:p>
      <w:pPr>
        <w:pStyle w:val="4"/>
        <w:spacing w:before="312" w:after="312"/>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4"/>
        <w:spacing w:before="312" w:after="312"/>
        <w:rPr>
          <w:rFonts w:ascii="Times New Roman" w:hAnsi="Times New Roman" w:eastAsia="宋体" w:cs="Times New Roman"/>
        </w:rPr>
      </w:pPr>
      <w:bookmarkStart w:id="0" w:name="_Toc25101"/>
      <w:r>
        <w:rPr>
          <w:rFonts w:ascii="Times New Roman" w:hAnsi="Times New Roman" w:eastAsia="宋体" w:cs="Times New Roman"/>
        </w:rPr>
        <w:t>采购公告</w:t>
      </w:r>
      <w:bookmarkEnd w:id="0"/>
    </w:p>
    <w:p>
      <w:pPr>
        <w:pStyle w:val="5"/>
        <w:snapToGrid w:val="0"/>
        <w:spacing w:before="120" w:after="120" w:line="240" w:lineRule="auto"/>
        <w:ind w:firstLine="403"/>
        <w:rPr>
          <w:rFonts w:ascii="Times New Roman" w:hAnsi="Times New Roman" w:eastAsia="黑体" w:cs="Times New Roman"/>
          <w:b w:val="0"/>
          <w:sz w:val="22"/>
          <w:szCs w:val="15"/>
        </w:rPr>
      </w:pPr>
      <w:bookmarkStart w:id="1" w:name="_Toc525632585"/>
      <w:bookmarkStart w:id="2" w:name="_Toc10395_WPSOffice_Level2"/>
      <w:bookmarkStart w:id="3" w:name="_Toc24354_WPSOffice_Level2"/>
      <w:bookmarkStart w:id="4" w:name="_Toc12765"/>
      <w:bookmarkStart w:id="5" w:name="_Toc4489_WPSOffice_Level2"/>
      <w:bookmarkStart w:id="6" w:name="_Toc6496_WPSOffice_Level2"/>
      <w:bookmarkStart w:id="7" w:name="_Toc13871"/>
      <w:r>
        <w:rPr>
          <w:rFonts w:ascii="Times New Roman" w:hAnsi="Times New Roman" w:eastAsia="黑体" w:cs="Times New Roman"/>
          <w:b w:val="0"/>
          <w:sz w:val="22"/>
          <w:szCs w:val="15"/>
        </w:rPr>
        <w:t>项目简介</w:t>
      </w:r>
      <w:bookmarkEnd w:id="1"/>
      <w:bookmarkEnd w:id="2"/>
      <w:bookmarkEnd w:id="3"/>
      <w:bookmarkEnd w:id="4"/>
      <w:bookmarkEnd w:id="5"/>
      <w:bookmarkEnd w:id="6"/>
      <w:bookmarkEnd w:id="7"/>
    </w:p>
    <w:p>
      <w:pPr>
        <w:widowControl/>
        <w:ind w:firstLine="420" w:firstLineChars="200"/>
        <w:jc w:val="both"/>
        <w:rPr>
          <w:rFonts w:hint="eastAsia" w:ascii="Times New Roman" w:hAnsi="Times New Roman" w:eastAsia="宋体" w:cs="Times New Roman"/>
          <w:sz w:val="32"/>
          <w:szCs w:val="32"/>
          <w:u w:val="none"/>
          <w:lang w:val="en-US" w:eastAsia="zh-CN"/>
        </w:rPr>
      </w:pPr>
      <w:r>
        <w:rPr>
          <w:rFonts w:hint="eastAsia" w:ascii="宋体" w:hAnsi="宋体" w:eastAsia="宋体" w:cs="宋体"/>
          <w:szCs w:val="21"/>
          <w:lang w:val="en-US" w:eastAsia="zh-CN"/>
        </w:rPr>
        <w:t>1.1项目名称：</w:t>
      </w:r>
      <w:r>
        <w:rPr>
          <w:rFonts w:hint="eastAsia" w:ascii="宋体" w:hAnsi="宋体" w:eastAsia="宋体" w:cs="宋体"/>
          <w:sz w:val="21"/>
          <w:szCs w:val="21"/>
          <w:u w:val="single"/>
          <w:lang w:val="en-US" w:eastAsia="zh-CN"/>
        </w:rPr>
        <w:t>安徽省无岳高速配套新能源项目服务区充电桩采购项目</w:t>
      </w:r>
    </w:p>
    <w:p>
      <w:pPr>
        <w:snapToGrid w:val="0"/>
        <w:spacing w:line="44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rPr>
        <w:t>1.2 采 购 人：</w:t>
      </w:r>
      <w:r>
        <w:rPr>
          <w:rFonts w:hint="eastAsia" w:ascii="宋体" w:hAnsi="宋体" w:eastAsia="宋体" w:cs="宋体"/>
          <w:sz w:val="21"/>
          <w:szCs w:val="21"/>
          <w:u w:val="single"/>
        </w:rPr>
        <w:t xml:space="preserve"> 安徽</w:t>
      </w:r>
      <w:r>
        <w:rPr>
          <w:rFonts w:hint="eastAsia" w:ascii="宋体" w:hAnsi="宋体" w:eastAsia="宋体" w:cs="宋体"/>
          <w:sz w:val="21"/>
          <w:szCs w:val="21"/>
          <w:u w:val="single"/>
          <w:lang w:val="en-US" w:eastAsia="zh-CN"/>
        </w:rPr>
        <w:t xml:space="preserve">省经工物资有限公司  </w:t>
      </w:r>
    </w:p>
    <w:p>
      <w:pPr>
        <w:adjustRightInd w:val="0"/>
        <w:snapToGrid w:val="0"/>
        <w:spacing w:line="440" w:lineRule="exact"/>
        <w:ind w:firstLine="420" w:firstLineChars="200"/>
        <w:rPr>
          <w:rFonts w:hint="eastAsia" w:ascii="仿宋_GB2312" w:hAnsi="仿宋" w:eastAsia="仿宋_GB2312"/>
          <w:szCs w:val="21"/>
          <w:highlight w:val="yellow"/>
          <w:lang w:eastAsia="zh-CN"/>
        </w:rPr>
      </w:pPr>
      <w:r>
        <w:rPr>
          <w:rFonts w:hint="eastAsia" w:ascii="宋体" w:hAnsi="宋体" w:eastAsia="宋体" w:cs="宋体"/>
          <w:sz w:val="21"/>
          <w:szCs w:val="21"/>
        </w:rPr>
        <w:t>1.3 项目概况：</w:t>
      </w:r>
      <w:r>
        <w:rPr>
          <w:rFonts w:hint="eastAsia" w:ascii="宋体" w:hAnsi="宋体" w:eastAsia="宋体" w:cs="宋体"/>
          <w:sz w:val="21"/>
          <w:szCs w:val="21"/>
          <w:u w:val="single"/>
        </w:rPr>
        <w:t xml:space="preserve"> 在无岳高速公路青草服务区、庐江东服务区、岳西东服务区共计3对服务区每侧服务区建设6个</w:t>
      </w:r>
      <w:r>
        <w:rPr>
          <w:rFonts w:hint="eastAsia" w:ascii="宋体" w:hAnsi="宋体" w:eastAsia="宋体" w:cs="宋体"/>
          <w:sz w:val="21"/>
          <w:szCs w:val="21"/>
          <w:u w:val="single"/>
          <w:lang w:eastAsia="zh-CN"/>
        </w:rPr>
        <w:t>120KW一机双枪直流充电桩</w:t>
      </w:r>
      <w:r>
        <w:rPr>
          <w:rFonts w:hint="eastAsia" w:ascii="宋体" w:hAnsi="宋体" w:eastAsia="宋体" w:cs="宋体"/>
          <w:sz w:val="21"/>
          <w:szCs w:val="21"/>
          <w:u w:val="none"/>
          <w:lang w:eastAsia="zh-CN"/>
        </w:rPr>
        <w:t>。</w:t>
      </w:r>
    </w:p>
    <w:p>
      <w:pPr>
        <w:pStyle w:val="5"/>
        <w:snapToGrid w:val="0"/>
        <w:spacing w:before="120" w:after="120" w:line="240" w:lineRule="auto"/>
        <w:ind w:firstLine="403"/>
        <w:rPr>
          <w:rFonts w:ascii="Times New Roman" w:hAnsi="Times New Roman" w:eastAsia="黑体" w:cs="Times New Roman"/>
          <w:b w:val="0"/>
          <w:sz w:val="22"/>
          <w:szCs w:val="15"/>
        </w:rPr>
      </w:pPr>
      <w:bookmarkStart w:id="8" w:name="_Toc18367_WPSOffice_Level2"/>
      <w:bookmarkStart w:id="9" w:name="_Toc17858_WPSOffice_Level2"/>
      <w:bookmarkStart w:id="10" w:name="_Toc8128_WPSOffice_Level2"/>
      <w:bookmarkStart w:id="11" w:name="_Toc23266_WPSOffice_Level2"/>
      <w:bookmarkStart w:id="12" w:name="_Toc10274"/>
      <w:bookmarkStart w:id="13" w:name="_Toc18453"/>
      <w:bookmarkStart w:id="14" w:name="_Toc525632586"/>
      <w:r>
        <w:rPr>
          <w:rFonts w:ascii="Times New Roman" w:hAnsi="Times New Roman" w:eastAsia="黑体" w:cs="Times New Roman"/>
          <w:b w:val="0"/>
          <w:sz w:val="22"/>
          <w:szCs w:val="15"/>
        </w:rPr>
        <w:t>采购说明</w:t>
      </w:r>
      <w:bookmarkEnd w:id="8"/>
      <w:bookmarkEnd w:id="9"/>
      <w:bookmarkEnd w:id="10"/>
      <w:bookmarkEnd w:id="11"/>
      <w:bookmarkEnd w:id="12"/>
      <w:bookmarkEnd w:id="13"/>
      <w:bookmarkEnd w:id="14"/>
    </w:p>
    <w:p>
      <w:pPr>
        <w:snapToGrid w:val="0"/>
        <w:spacing w:line="440" w:lineRule="exact"/>
        <w:ind w:firstLine="420" w:firstLineChars="200"/>
        <w:rPr>
          <w:rFonts w:hint="default" w:ascii="宋体" w:hAnsi="宋体" w:eastAsia="宋体" w:cs="宋体"/>
          <w:szCs w:val="21"/>
          <w:u w:val="single"/>
          <w:lang w:val="en-US" w:eastAsia="zh-CN"/>
        </w:rPr>
      </w:pPr>
      <w:bookmarkStart w:id="15" w:name="_Toc4489_WPSOffice_Level3"/>
      <w:r>
        <w:rPr>
          <w:rFonts w:hint="eastAsia" w:ascii="宋体" w:hAnsi="宋体" w:eastAsia="宋体" w:cs="宋体"/>
          <w:szCs w:val="21"/>
        </w:rPr>
        <w:t>2.1 采购方式：</w:t>
      </w:r>
      <w:bookmarkEnd w:id="15"/>
      <w:r>
        <w:rPr>
          <w:rFonts w:hint="eastAsia" w:ascii="宋体" w:hAnsi="宋体" w:eastAsia="宋体" w:cs="宋体"/>
          <w:szCs w:val="21"/>
          <w:u w:val="single"/>
          <w:lang w:val="en-US" w:eastAsia="zh-CN"/>
        </w:rPr>
        <w:t xml:space="preserve">  询比采购   </w:t>
      </w:r>
    </w:p>
    <w:p>
      <w:pPr>
        <w:snapToGrid w:val="0"/>
        <w:spacing w:line="440" w:lineRule="exact"/>
        <w:ind w:firstLine="420" w:firstLineChars="200"/>
        <w:rPr>
          <w:rFonts w:hint="eastAsia" w:ascii="宋体" w:hAnsi="宋体" w:eastAsia="宋体" w:cs="宋体"/>
          <w:szCs w:val="21"/>
        </w:rPr>
      </w:pPr>
      <w:bookmarkStart w:id="16" w:name="_Toc23266_WPSOffice_Level3"/>
      <w:r>
        <w:rPr>
          <w:rFonts w:hint="eastAsia" w:ascii="宋体" w:hAnsi="宋体" w:eastAsia="宋体" w:cs="宋体"/>
          <w:szCs w:val="21"/>
        </w:rPr>
        <w:t>2.2 资金来源及比例：</w:t>
      </w:r>
      <w:bookmarkEnd w:id="16"/>
      <w:bookmarkStart w:id="17" w:name="_Toc22379_WPSOffice_Level3"/>
      <w:r>
        <w:rPr>
          <w:rFonts w:hint="eastAsia" w:ascii="宋体" w:hAnsi="宋体" w:eastAsia="宋体" w:cs="宋体"/>
          <w:szCs w:val="21"/>
          <w:u w:val="single"/>
        </w:rPr>
        <w:t>100%来自企业自筹</w:t>
      </w:r>
    </w:p>
    <w:p>
      <w:pPr>
        <w:snapToGrid w:val="0"/>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2.3 采购范围：</w:t>
      </w:r>
      <w:r>
        <w:rPr>
          <w:rFonts w:hint="eastAsia" w:ascii="宋体" w:hAnsi="宋体" w:eastAsia="宋体" w:cs="宋体"/>
          <w:szCs w:val="21"/>
          <w:u w:val="single"/>
          <w:lang w:val="en-US" w:eastAsia="zh-CN"/>
        </w:rPr>
        <w:t xml:space="preserve">  对本次采购的3对服务区充电桩设备采购及安装。                                          </w:t>
      </w:r>
      <w:r>
        <w:rPr>
          <w:rFonts w:hint="eastAsia" w:ascii="宋体" w:hAnsi="宋体" w:eastAsia="宋体" w:cs="宋体"/>
          <w:szCs w:val="21"/>
          <w:lang w:val="en-US" w:eastAsia="zh-CN"/>
        </w:rPr>
        <w:t xml:space="preserve">                                                           </w:t>
      </w:r>
    </w:p>
    <w:p>
      <w:pPr>
        <w:snapToGrid w:val="0"/>
        <w:spacing w:line="44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2.4 品牌范围：</w:t>
      </w:r>
      <w:r>
        <w:rPr>
          <w:rFonts w:hint="eastAsia" w:ascii="宋体" w:hAnsi="宋体" w:eastAsia="宋体" w:cs="宋体"/>
          <w:szCs w:val="21"/>
          <w:u w:val="single"/>
          <w:lang w:val="en-US" w:eastAsia="zh-CN"/>
        </w:rPr>
        <w:t xml:space="preserve">    无。产品参数详见工程量清单。                              </w:t>
      </w:r>
      <w:r>
        <w:rPr>
          <w:rFonts w:hint="eastAsia" w:ascii="宋体" w:hAnsi="宋体" w:eastAsia="宋体" w:cs="宋体"/>
          <w:szCs w:val="21"/>
          <w:lang w:val="en-US" w:eastAsia="zh-CN"/>
        </w:rPr>
        <w:t xml:space="preserve">                                                               </w:t>
      </w:r>
    </w:p>
    <w:p>
      <w:pPr>
        <w:snapToGrid w:val="0"/>
        <w:spacing w:line="44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2.5 合同包划分：</w:t>
      </w:r>
      <w:r>
        <w:rPr>
          <w:rFonts w:hint="eastAsia" w:ascii="宋体" w:hAnsi="宋体" w:eastAsia="宋体" w:cs="宋体"/>
          <w:szCs w:val="21"/>
          <w:u w:val="single"/>
          <w:lang w:val="en-US" w:eastAsia="zh-CN"/>
        </w:rPr>
        <w:t xml:space="preserve">    1个包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p>
    <w:p>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6</w:t>
      </w:r>
      <w:r>
        <w:rPr>
          <w:rFonts w:hint="eastAsia" w:ascii="宋体" w:hAnsi="宋体" w:eastAsia="宋体" w:cs="宋体"/>
          <w:szCs w:val="21"/>
        </w:rPr>
        <w:t xml:space="preserve"> 最高限价：</w:t>
      </w:r>
      <w:bookmarkEnd w:id="17"/>
      <w:r>
        <w:rPr>
          <w:rFonts w:hint="eastAsia" w:ascii="宋体" w:hAnsi="宋体" w:eastAsia="宋体" w:cs="宋体"/>
          <w:szCs w:val="21"/>
          <w:u w:val="single"/>
        </w:rPr>
        <w:t xml:space="preserve">  </w:t>
      </w:r>
      <w:r>
        <w:rPr>
          <w:rFonts w:hint="eastAsia" w:ascii="宋体" w:hAnsi="宋体" w:eastAsia="宋体" w:cs="宋体"/>
          <w:szCs w:val="21"/>
          <w:highlight w:val="none"/>
          <w:u w:val="single"/>
          <w:lang w:val="en-US" w:eastAsia="zh-CN"/>
        </w:rPr>
        <w:t>169.2万元</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p>
    <w:p>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7</w:t>
      </w:r>
      <w:r>
        <w:rPr>
          <w:rFonts w:hint="eastAsia" w:ascii="宋体" w:hAnsi="宋体" w:eastAsia="宋体" w:cs="宋体"/>
          <w:szCs w:val="21"/>
        </w:rPr>
        <w:t xml:space="preserve"> </w:t>
      </w:r>
      <w:r>
        <w:rPr>
          <w:rFonts w:hint="eastAsia" w:ascii="宋体" w:hAnsi="宋体" w:eastAsia="宋体" w:cs="宋体"/>
          <w:szCs w:val="21"/>
          <w:lang w:val="en-US" w:eastAsia="zh-CN"/>
        </w:rPr>
        <w:t>交货期</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 w:val="21"/>
          <w:szCs w:val="21"/>
          <w:u w:val="single"/>
          <w:lang w:val="en-US" w:eastAsia="zh-CN"/>
        </w:rPr>
        <w:t>在</w:t>
      </w:r>
      <w:r>
        <w:rPr>
          <w:rFonts w:hint="eastAsia" w:ascii="宋体" w:hAnsi="宋体" w:eastAsia="宋体" w:cs="宋体"/>
          <w:kern w:val="0"/>
          <w:sz w:val="21"/>
          <w:szCs w:val="21"/>
          <w:highlight w:val="none"/>
          <w:u w:val="single"/>
        </w:rPr>
        <w:t>接到甲方相应批次交货通知之日起</w:t>
      </w:r>
      <w:r>
        <w:rPr>
          <w:rFonts w:hint="eastAsia" w:ascii="宋体" w:hAnsi="宋体" w:eastAsia="宋体" w:cs="宋体"/>
          <w:kern w:val="0"/>
          <w:sz w:val="21"/>
          <w:szCs w:val="21"/>
          <w:highlight w:val="none"/>
          <w:u w:val="single"/>
          <w:lang w:val="en-US" w:eastAsia="zh-CN"/>
        </w:rPr>
        <w:t>30</w:t>
      </w:r>
      <w:r>
        <w:rPr>
          <w:rFonts w:hint="eastAsia" w:ascii="宋体" w:hAnsi="宋体" w:eastAsia="宋体" w:cs="宋体"/>
          <w:kern w:val="0"/>
          <w:sz w:val="21"/>
          <w:szCs w:val="21"/>
          <w:highlight w:val="none"/>
          <w:u w:val="single"/>
        </w:rPr>
        <w:t>个日历天内交货并安装调试</w:t>
      </w:r>
      <w:r>
        <w:rPr>
          <w:rFonts w:hint="eastAsia" w:ascii="宋体" w:hAnsi="宋体" w:eastAsia="宋体" w:cs="宋体"/>
          <w:kern w:val="0"/>
          <w:sz w:val="21"/>
          <w:szCs w:val="21"/>
          <w:highlight w:val="none"/>
          <w:u w:val="single"/>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p>
    <w:p>
      <w:pPr>
        <w:pStyle w:val="5"/>
        <w:snapToGrid w:val="0"/>
        <w:spacing w:before="120" w:after="120" w:line="240" w:lineRule="auto"/>
        <w:ind w:firstLine="403"/>
        <w:rPr>
          <w:rFonts w:ascii="Times New Roman" w:hAnsi="Times New Roman" w:eastAsia="黑体" w:cs="Times New Roman"/>
          <w:b w:val="0"/>
          <w:sz w:val="22"/>
          <w:szCs w:val="15"/>
        </w:rPr>
      </w:pPr>
      <w:bookmarkStart w:id="18" w:name="_Toc29516_WPSOffice_Level2"/>
      <w:bookmarkStart w:id="19" w:name="_Toc525632587"/>
      <w:bookmarkStart w:id="20" w:name="_Toc6388"/>
      <w:bookmarkStart w:id="21" w:name="_Toc31673_WPSOffice_Level2"/>
      <w:bookmarkStart w:id="22" w:name="_Toc1622_WPSOffice_Level2"/>
      <w:bookmarkStart w:id="23" w:name="_Toc3714"/>
      <w:bookmarkStart w:id="24" w:name="_Toc22379_WPSOffice_Level2"/>
      <w:r>
        <w:rPr>
          <w:rFonts w:ascii="Times New Roman" w:hAnsi="Times New Roman" w:eastAsia="黑体" w:cs="Times New Roman"/>
          <w:b w:val="0"/>
          <w:sz w:val="22"/>
          <w:szCs w:val="15"/>
        </w:rPr>
        <w:t>供应商资格条件</w:t>
      </w:r>
      <w:bookmarkEnd w:id="18"/>
      <w:bookmarkEnd w:id="19"/>
      <w:bookmarkEnd w:id="20"/>
      <w:bookmarkEnd w:id="21"/>
      <w:bookmarkEnd w:id="22"/>
      <w:bookmarkEnd w:id="23"/>
      <w:bookmarkEnd w:id="24"/>
      <w:r>
        <w:rPr>
          <w:rFonts w:hint="eastAsia" w:ascii="Times New Roman" w:hAnsi="Times New Roman" w:eastAsia="黑体" w:cs="Times New Roman"/>
          <w:b w:val="0"/>
          <w:sz w:val="22"/>
          <w:szCs w:val="15"/>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Cs w:val="22"/>
        </w:rPr>
      </w:pPr>
      <w:r>
        <w:rPr>
          <w:rFonts w:hint="eastAsia" w:ascii="宋体" w:hAnsi="宋体" w:eastAsia="宋体" w:cs="宋体"/>
          <w:szCs w:val="22"/>
        </w:rPr>
        <w:t>3.1 本次采购要求供应商须同时具备：</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Cs w:val="22"/>
        </w:rPr>
      </w:pPr>
      <w:r>
        <w:rPr>
          <w:rFonts w:hint="eastAsia" w:ascii="Times New Roman" w:hAnsi="Times New Roman" w:cs="Times New Roman"/>
          <w:szCs w:val="22"/>
          <w:lang w:val="en-US" w:eastAsia="zh-CN"/>
        </w:rPr>
        <w:t>（1）</w:t>
      </w:r>
      <w:r>
        <w:rPr>
          <w:rFonts w:hint="eastAsia" w:ascii="宋体" w:hAnsi="宋体" w:eastAsia="宋体" w:cs="宋体"/>
          <w:szCs w:val="22"/>
        </w:rPr>
        <w:t>资质最低要求：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szCs w:val="22"/>
          <w:lang w:val="en-US" w:eastAsia="zh-CN"/>
        </w:rPr>
      </w:pPr>
      <w:r>
        <w:rPr>
          <w:rFonts w:hint="eastAsia" w:ascii="宋体" w:hAnsi="宋体" w:eastAsia="宋体" w:cs="宋体"/>
          <w:b/>
          <w:bCs/>
          <w:szCs w:val="22"/>
        </w:rPr>
        <w:t>具备独立法人资格，持有有效的营业执照</w:t>
      </w:r>
      <w:r>
        <w:rPr>
          <w:rFonts w:hint="eastAsia" w:ascii="宋体" w:hAnsi="宋体" w:eastAsia="宋体" w:cs="宋体"/>
          <w:b/>
          <w:bCs/>
          <w:szCs w:val="22"/>
          <w:lang w:eastAsia="zh-CN"/>
        </w:rPr>
        <w:t>；</w:t>
      </w:r>
      <w:r>
        <w:rPr>
          <w:rFonts w:hint="eastAsia" w:ascii="宋体" w:hAnsi="宋体" w:eastAsia="宋体" w:cs="宋体"/>
          <w:b/>
          <w:bCs/>
          <w:szCs w:val="22"/>
        </w:rPr>
        <w:t>具有独立完成本项目的相关能力的生产厂家或制造商</w:t>
      </w:r>
      <w:r>
        <w:rPr>
          <w:rFonts w:hint="eastAsia" w:ascii="宋体" w:hAnsi="宋体" w:eastAsia="宋体" w:cs="宋体"/>
          <w:b/>
          <w:bCs/>
          <w:szCs w:val="22"/>
          <w:lang w:eastAsia="zh-CN"/>
        </w:rPr>
        <w:t>。</w:t>
      </w:r>
      <w:r>
        <w:rPr>
          <w:rFonts w:hint="eastAsia" w:ascii="宋体" w:hAnsi="宋体" w:eastAsia="宋体" w:cs="宋体"/>
          <w:szCs w:val="22"/>
          <w:lang w:val="en-US" w:eastAsia="zh-CN"/>
        </w:rPr>
        <w:t xml:space="preserve">  </w:t>
      </w:r>
    </w:p>
    <w:p>
      <w:pPr>
        <w:numPr>
          <w:ilvl w:val="0"/>
          <w:numId w:val="0"/>
        </w:numPr>
        <w:snapToGrid w:val="0"/>
        <w:spacing w:line="440" w:lineRule="exact"/>
        <w:ind w:firstLine="420" w:firstLineChars="200"/>
        <w:rPr>
          <w:rFonts w:hint="eastAsia" w:ascii="Times New Roman" w:hAnsi="Times New Roman" w:cs="Times New Roman"/>
          <w:szCs w:val="22"/>
        </w:rPr>
      </w:pP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2</w:t>
      </w:r>
      <w:r>
        <w:rPr>
          <w:rFonts w:hint="eastAsia" w:ascii="Times New Roman" w:hAnsi="Times New Roman" w:cs="Times New Roman"/>
          <w:szCs w:val="22"/>
          <w:lang w:eastAsia="zh-CN"/>
        </w:rPr>
        <w:t>）</w:t>
      </w:r>
      <w:r>
        <w:rPr>
          <w:rFonts w:hint="eastAsia" w:ascii="Times New Roman" w:hAnsi="Times New Roman" w:cs="Times New Roman"/>
          <w:szCs w:val="22"/>
        </w:rPr>
        <w:t>业绩最低要求：</w:t>
      </w:r>
    </w:p>
    <w:p>
      <w:pPr>
        <w:pStyle w:val="2"/>
        <w:keepNext w:val="0"/>
        <w:keepLines w:val="0"/>
        <w:pageBreakBefore w:val="0"/>
        <w:widowControl w:val="0"/>
        <w:kinsoku/>
        <w:wordWrap/>
        <w:overflowPunct/>
        <w:topLinePunct w:val="0"/>
        <w:autoSpaceDE/>
        <w:autoSpaceDN/>
        <w:bidi w:val="0"/>
        <w:adjustRightInd/>
        <w:snapToGrid w:val="0"/>
        <w:spacing w:after="0" w:line="440" w:lineRule="exact"/>
        <w:ind w:firstLine="420" w:firstLineChars="200"/>
        <w:jc w:val="both"/>
        <w:textAlignment w:val="auto"/>
        <w:rPr>
          <w:rFonts w:hint="eastAsia" w:ascii="宋体" w:hAnsi="宋体" w:eastAsia="宋体" w:cs="宋体"/>
          <w:b/>
          <w:bCs/>
          <w:highlight w:val="none"/>
          <w:u w:val="single"/>
          <w:lang w:val="en-US" w:eastAsia="zh-CN"/>
        </w:rPr>
      </w:pPr>
      <w:r>
        <w:rPr>
          <w:rFonts w:hint="eastAsia" w:ascii="宋体" w:hAnsi="宋体" w:eastAsia="宋体" w:cs="宋体"/>
          <w:b/>
          <w:bCs/>
          <w:highlight w:val="none"/>
          <w:u w:val="single"/>
          <w:lang w:val="en-US" w:eastAsia="zh-CN"/>
        </w:rPr>
        <w:t xml:space="preserve"> 至少提供1个自2020年1月1日以来，单项合同额不低于100万元的</w:t>
      </w:r>
      <w:r>
        <w:rPr>
          <w:rFonts w:hint="eastAsia" w:ascii="Times New Roman" w:hAnsi="Times New Roman" w:cs="Times New Roman"/>
          <w:b/>
          <w:bCs/>
          <w:color w:val="auto"/>
          <w:szCs w:val="21"/>
          <w:highlight w:val="none"/>
          <w:u w:val="single"/>
          <w:lang w:val="en-US" w:eastAsia="zh-CN"/>
        </w:rPr>
        <w:t>充电桩销售合同业绩</w:t>
      </w:r>
      <w:r>
        <w:rPr>
          <w:rFonts w:hint="eastAsia" w:ascii="宋体" w:hAnsi="宋体" w:eastAsia="宋体" w:cs="宋体"/>
          <w:b/>
          <w:bCs/>
          <w:highlight w:val="none"/>
          <w:u w:val="single"/>
          <w:lang w:val="en-US" w:eastAsia="zh-CN"/>
        </w:rPr>
        <w:t xml:space="preserve"> </w:t>
      </w:r>
    </w:p>
    <w:p>
      <w:pPr>
        <w:numPr>
          <w:ilvl w:val="255"/>
          <w:numId w:val="0"/>
        </w:numPr>
        <w:snapToGrid w:val="0"/>
        <w:spacing w:line="440" w:lineRule="exact"/>
        <w:ind w:firstLine="420" w:firstLineChars="200"/>
        <w:rPr>
          <w:rFonts w:hint="eastAsia" w:ascii="Times New Roman" w:hAnsi="Times New Roman" w:cs="Times New Roman" w:eastAsiaTheme="minorEastAsia"/>
          <w:szCs w:val="22"/>
          <w:lang w:eastAsia="zh-CN"/>
        </w:rPr>
      </w:pPr>
      <w:r>
        <w:rPr>
          <w:rFonts w:hint="eastAsia" w:asciiTheme="minorEastAsia" w:hAnsiTheme="minorEastAsia" w:eastAsiaTheme="minorEastAsia" w:cstheme="minorEastAsia"/>
          <w:szCs w:val="22"/>
        </w:rPr>
        <w:t>（</w:t>
      </w:r>
      <w:r>
        <w:rPr>
          <w:rFonts w:hint="eastAsia" w:asciiTheme="minorEastAsia" w:hAnsiTheme="minorEastAsia" w:cstheme="minorEastAsia"/>
          <w:szCs w:val="22"/>
          <w:lang w:val="en-US" w:eastAsia="zh-CN"/>
        </w:rPr>
        <w:t>3</w:t>
      </w:r>
      <w:r>
        <w:rPr>
          <w:rFonts w:hint="eastAsia" w:asciiTheme="minorEastAsia" w:hAnsiTheme="minorEastAsia" w:eastAsiaTheme="minorEastAsia" w:cstheme="minorEastAsia"/>
          <w:szCs w:val="22"/>
        </w:rPr>
        <w:t>）</w:t>
      </w:r>
      <w:r>
        <w:rPr>
          <w:rFonts w:ascii="Times New Roman" w:hAnsi="Times New Roman" w:cs="Times New Roman"/>
          <w:szCs w:val="22"/>
        </w:rPr>
        <w:t>信誉要求最低要求：</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pPr>
      <w:r>
        <w:rPr>
          <w:rFonts w:hint="eastAsia" w:ascii="Times New Roman" w:hAnsi="Times New Roman" w:cs="Times New Roman"/>
          <w:szCs w:val="22"/>
        </w:rPr>
        <w:t>②未进入清算程序，或被宣告破产，或其他丧失履约能力的情形；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向前追溯3年）供应商或其法定代表人、拟委任的项目经理</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如有</w:t>
      </w:r>
      <w:r>
        <w:rPr>
          <w:rFonts w:hint="eastAsia" w:ascii="Times New Roman" w:hAnsi="Times New Roman" w:cs="Times New Roman"/>
          <w:szCs w:val="22"/>
          <w:lang w:eastAsia="zh-CN"/>
        </w:rPr>
        <w:t>）</w:t>
      </w:r>
      <w:r>
        <w:rPr>
          <w:rFonts w:hint="eastAsia" w:ascii="Times New Roman" w:hAnsi="Times New Roman" w:cs="Times New Roman"/>
          <w:szCs w:val="22"/>
        </w:rPr>
        <w:t>未</w:t>
      </w:r>
      <w:r>
        <w:rPr>
          <w:rFonts w:ascii="Times New Roman" w:hAnsi="Times New Roman" w:cs="Times New Roman"/>
          <w:szCs w:val="22"/>
        </w:rPr>
        <w:t>有行贿犯罪行为。</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rPr>
      </w:pPr>
      <w:r>
        <w:rPr>
          <w:rFonts w:hint="eastAsia" w:ascii="Times New Roman" w:hAnsi="Times New Roman"/>
        </w:rPr>
        <w:t>⑥其他要求：</w:t>
      </w:r>
      <w:r>
        <w:rPr>
          <w:rFonts w:hint="eastAsia" w:ascii="Times New Roman" w:hAnsi="Times New Roman"/>
          <w:u w:val="single"/>
          <w:lang w:val="en-US" w:eastAsia="zh-CN"/>
        </w:rPr>
        <w:t xml:space="preserve">        /        </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 w:val="18"/>
          <w:szCs w:val="21"/>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5"/>
        <w:snapToGrid w:val="0"/>
        <w:spacing w:before="120" w:after="120" w:line="240" w:lineRule="auto"/>
        <w:ind w:firstLine="403"/>
        <w:rPr>
          <w:rFonts w:ascii="Times New Roman" w:hAnsi="Times New Roman" w:eastAsia="黑体" w:cs="Times New Roman"/>
          <w:b w:val="0"/>
          <w:sz w:val="22"/>
          <w:szCs w:val="15"/>
        </w:rPr>
      </w:pPr>
      <w:bookmarkStart w:id="25" w:name="_Toc29452_WPSOffice_Level2"/>
      <w:bookmarkStart w:id="26" w:name="_Toc1994"/>
      <w:bookmarkStart w:id="27" w:name="_Toc4751"/>
      <w:bookmarkStart w:id="28" w:name="_Toc4109_WPSOffice_Level2"/>
      <w:bookmarkStart w:id="29" w:name="_Toc25666_WPSOffice_Level2"/>
      <w:bookmarkStart w:id="30" w:name="_Toc525632588"/>
      <w:bookmarkStart w:id="31" w:name="_Toc2996_WPSOffice_Level2"/>
      <w:r>
        <w:rPr>
          <w:rFonts w:hint="eastAsia" w:ascii="Times New Roman" w:hAnsi="Times New Roman" w:eastAsia="黑体" w:cs="Times New Roman"/>
          <w:b w:val="0"/>
          <w:sz w:val="22"/>
          <w:szCs w:val="15"/>
        </w:rPr>
        <w:t>询比文件</w:t>
      </w:r>
      <w:r>
        <w:rPr>
          <w:rFonts w:ascii="Times New Roman" w:hAnsi="Times New Roman" w:eastAsia="黑体" w:cs="Times New Roman"/>
          <w:b w:val="0"/>
          <w:sz w:val="22"/>
          <w:szCs w:val="15"/>
        </w:rPr>
        <w:t>的获取</w:t>
      </w:r>
      <w:bookmarkEnd w:id="25"/>
      <w:bookmarkEnd w:id="26"/>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Cs w:val="22"/>
        </w:rPr>
      </w:pPr>
      <w:r>
        <w:rPr>
          <w:rFonts w:hint="eastAsia" w:ascii="宋体" w:hAnsi="宋体" w:eastAsia="宋体" w:cs="宋体"/>
          <w:szCs w:val="22"/>
        </w:rPr>
        <w:t>供应商应在递交响应文件的截止时间前登录</w:t>
      </w:r>
      <w:r>
        <w:rPr>
          <w:rFonts w:hint="eastAsia" w:ascii="宋体" w:hAnsi="宋体" w:eastAsia="宋体" w:cs="宋体"/>
          <w:szCs w:val="22"/>
          <w:lang w:eastAsia="zh-CN"/>
        </w:rPr>
        <w:t>“</w:t>
      </w:r>
      <w:r>
        <w:rPr>
          <w:rFonts w:hint="eastAsia" w:ascii="宋体" w:hAnsi="宋体" w:eastAsia="宋体" w:cs="宋体"/>
          <w:szCs w:val="22"/>
        </w:rPr>
        <w:t>安徽</w:t>
      </w:r>
      <w:r>
        <w:rPr>
          <w:rFonts w:hint="eastAsia" w:ascii="宋体" w:hAnsi="宋体" w:eastAsia="宋体" w:cs="宋体"/>
          <w:szCs w:val="22"/>
          <w:lang w:val="en-US" w:eastAsia="zh-CN"/>
        </w:rPr>
        <w:t>省经工建设集团有限公司</w:t>
      </w:r>
      <w:r>
        <w:rPr>
          <w:rFonts w:hint="eastAsia" w:ascii="宋体" w:hAnsi="宋体" w:eastAsia="宋体" w:cs="宋体"/>
          <w:szCs w:val="22"/>
          <w:lang w:eastAsia="zh-CN"/>
        </w:rPr>
        <w:t>”</w:t>
      </w:r>
      <w:r>
        <w:rPr>
          <w:rFonts w:hint="eastAsia" w:ascii="宋体" w:hAnsi="宋体" w:eastAsia="宋体" w:cs="宋体"/>
          <w:szCs w:val="22"/>
        </w:rPr>
        <w:t>网站（https://www.ahjggroup.com/）</w:t>
      </w:r>
      <w:r>
        <w:rPr>
          <w:rFonts w:hint="eastAsia" w:ascii="宋体" w:hAnsi="宋体" w:eastAsia="宋体" w:cs="宋体"/>
          <w:szCs w:val="22"/>
          <w:lang w:eastAsia="zh-CN"/>
        </w:rPr>
        <w:t>“</w:t>
      </w:r>
      <w:r>
        <w:rPr>
          <w:rFonts w:hint="eastAsia" w:ascii="宋体" w:hAnsi="宋体" w:eastAsia="宋体" w:cs="宋体"/>
          <w:szCs w:val="22"/>
          <w:lang w:val="en-US" w:eastAsia="zh-CN"/>
        </w:rPr>
        <w:t>通知公告</w:t>
      </w:r>
      <w:r>
        <w:rPr>
          <w:rFonts w:hint="eastAsia" w:ascii="宋体" w:hAnsi="宋体" w:eastAsia="宋体" w:cs="宋体"/>
          <w:szCs w:val="22"/>
          <w:lang w:eastAsia="zh-CN"/>
        </w:rPr>
        <w:t>”</w:t>
      </w:r>
      <w:r>
        <w:rPr>
          <w:rFonts w:hint="eastAsia" w:ascii="宋体" w:hAnsi="宋体" w:eastAsia="宋体" w:cs="宋体"/>
          <w:szCs w:val="22"/>
        </w:rPr>
        <w:t>栏，选择所参加的</w:t>
      </w:r>
      <w:r>
        <w:rPr>
          <w:rFonts w:hint="eastAsia" w:ascii="宋体" w:hAnsi="宋体" w:eastAsia="宋体" w:cs="宋体"/>
          <w:szCs w:val="22"/>
          <w:lang w:val="en-US" w:eastAsia="zh-CN"/>
        </w:rPr>
        <w:t>合同包</w:t>
      </w:r>
      <w:r>
        <w:rPr>
          <w:rFonts w:hint="eastAsia" w:ascii="宋体" w:hAnsi="宋体" w:eastAsia="宋体" w:cs="宋体"/>
          <w:szCs w:val="22"/>
        </w:rPr>
        <w:t>，自行下载询比文件及相关资料</w:t>
      </w:r>
      <w:r>
        <w:rPr>
          <w:rFonts w:hint="eastAsia" w:ascii="宋体" w:hAnsi="宋体" w:eastAsia="宋体" w:cs="宋体"/>
          <w:szCs w:val="22"/>
          <w:lang w:eastAsia="zh-CN"/>
        </w:rPr>
        <w:t>（</w:t>
      </w:r>
      <w:r>
        <w:rPr>
          <w:rFonts w:hint="eastAsia" w:ascii="宋体" w:hAnsi="宋体" w:eastAsia="宋体" w:cs="宋体"/>
          <w:szCs w:val="22"/>
          <w:lang w:val="en-US" w:eastAsia="zh-CN"/>
        </w:rPr>
        <w:t>含澄清、</w:t>
      </w:r>
      <w:r>
        <w:rPr>
          <w:rFonts w:hint="eastAsia" w:ascii="宋体" w:hAnsi="宋体" w:eastAsia="宋体" w:cs="宋体"/>
          <w:szCs w:val="22"/>
          <w:highlight w:val="none"/>
          <w:lang w:val="en-US" w:eastAsia="zh-CN"/>
        </w:rPr>
        <w:t>补遗及相关补充文件</w:t>
      </w:r>
      <w:r>
        <w:rPr>
          <w:rFonts w:hint="eastAsia" w:ascii="宋体" w:hAnsi="宋体" w:eastAsia="宋体" w:cs="宋体"/>
          <w:szCs w:val="22"/>
          <w:lang w:eastAsia="zh-CN"/>
        </w:rPr>
        <w:t>）</w:t>
      </w:r>
      <w:r>
        <w:rPr>
          <w:rFonts w:hint="eastAsia" w:ascii="宋体" w:hAnsi="宋体" w:eastAsia="宋体" w:cs="宋体"/>
          <w:szCs w:val="22"/>
        </w:rPr>
        <w:t>。未按规定在</w:t>
      </w:r>
      <w:r>
        <w:rPr>
          <w:rFonts w:hint="eastAsia" w:ascii="宋体" w:hAnsi="宋体" w:eastAsia="宋体" w:cs="宋体"/>
          <w:szCs w:val="22"/>
          <w:lang w:eastAsia="zh-CN"/>
        </w:rPr>
        <w:t>“</w:t>
      </w:r>
      <w:r>
        <w:rPr>
          <w:rFonts w:hint="eastAsia" w:ascii="宋体" w:hAnsi="宋体" w:eastAsia="宋体" w:cs="宋体"/>
          <w:szCs w:val="22"/>
        </w:rPr>
        <w:t>安徽</w:t>
      </w:r>
      <w:r>
        <w:rPr>
          <w:rFonts w:hint="eastAsia" w:ascii="宋体" w:hAnsi="宋体" w:eastAsia="宋体" w:cs="宋体"/>
          <w:szCs w:val="22"/>
          <w:lang w:val="en-US" w:eastAsia="zh-CN"/>
        </w:rPr>
        <w:t>省经工建设集团有限公司</w:t>
      </w:r>
      <w:r>
        <w:rPr>
          <w:rFonts w:hint="eastAsia" w:ascii="宋体" w:hAnsi="宋体" w:eastAsia="宋体" w:cs="宋体"/>
          <w:szCs w:val="22"/>
          <w:lang w:eastAsia="zh-CN"/>
        </w:rPr>
        <w:t>”</w:t>
      </w:r>
      <w:r>
        <w:rPr>
          <w:rFonts w:hint="eastAsia" w:ascii="宋体" w:hAnsi="宋体" w:eastAsia="宋体" w:cs="宋体"/>
          <w:szCs w:val="22"/>
        </w:rPr>
        <w:t>（https://www.ahjggroup.com/）</w:t>
      </w:r>
      <w:r>
        <w:rPr>
          <w:rFonts w:hint="eastAsia" w:ascii="宋体" w:hAnsi="宋体" w:eastAsia="宋体" w:cs="宋体"/>
          <w:szCs w:val="22"/>
          <w:lang w:eastAsia="zh-CN"/>
        </w:rPr>
        <w:t>“</w:t>
      </w:r>
      <w:r>
        <w:rPr>
          <w:rFonts w:hint="eastAsia" w:ascii="宋体" w:hAnsi="宋体" w:eastAsia="宋体" w:cs="宋体"/>
          <w:szCs w:val="22"/>
          <w:lang w:val="en-US" w:eastAsia="zh-CN"/>
        </w:rPr>
        <w:t>通知公告</w:t>
      </w:r>
      <w:r>
        <w:rPr>
          <w:rFonts w:hint="eastAsia" w:ascii="宋体" w:hAnsi="宋体" w:eastAsia="宋体" w:cs="宋体"/>
          <w:szCs w:val="22"/>
          <w:lang w:eastAsia="zh-CN"/>
        </w:rPr>
        <w:t>”</w:t>
      </w:r>
      <w:r>
        <w:rPr>
          <w:rFonts w:hint="eastAsia" w:ascii="宋体" w:hAnsi="宋体" w:eastAsia="宋体" w:cs="宋体"/>
          <w:szCs w:val="22"/>
        </w:rPr>
        <w:t>栏下载询比文件的，后续将不予接受其响应文件。</w:t>
      </w:r>
    </w:p>
    <w:p>
      <w:pPr>
        <w:pStyle w:val="5"/>
        <w:snapToGrid w:val="0"/>
        <w:spacing w:before="120" w:after="120" w:line="240" w:lineRule="auto"/>
        <w:ind w:firstLine="403"/>
        <w:rPr>
          <w:rFonts w:hint="eastAsia" w:ascii="Times New Roman" w:hAnsi="Times New Roman" w:eastAsia="黑体" w:cs="Times New Roman"/>
          <w:b w:val="0"/>
          <w:sz w:val="22"/>
          <w:szCs w:val="15"/>
        </w:rPr>
      </w:pPr>
      <w:bookmarkStart w:id="32" w:name="_Toc525632589"/>
      <w:bookmarkStart w:id="33" w:name="_Toc726"/>
      <w:r>
        <w:rPr>
          <w:rFonts w:hint="eastAsia" w:ascii="Times New Roman" w:hAnsi="Times New Roman" w:eastAsia="黑体" w:cs="Times New Roman"/>
          <w:b w:val="0"/>
          <w:sz w:val="22"/>
          <w:szCs w:val="15"/>
        </w:rPr>
        <w:t>响应文件的递交</w:t>
      </w:r>
      <w:bookmarkEnd w:id="32"/>
      <w:bookmarkEnd w:id="33"/>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firstLineChars="200"/>
        <w:jc w:val="both"/>
        <w:textAlignment w:val="auto"/>
        <w:rPr>
          <w:rFonts w:hint="eastAsia" w:ascii="Times New Roman" w:hAnsi="Times New Roman" w:cs="Times New Roman" w:eastAsiaTheme="minorEastAsia"/>
          <w:kern w:val="2"/>
          <w:sz w:val="21"/>
          <w:szCs w:val="22"/>
          <w:u w:val="none"/>
          <w:lang w:val="en-US" w:eastAsia="zh-CN"/>
        </w:rPr>
      </w:pPr>
      <w:bookmarkStart w:id="34" w:name="_Toc22719"/>
      <w:bookmarkStart w:id="35" w:name="_Toc525632591"/>
      <w:r>
        <w:rPr>
          <w:rFonts w:hint="eastAsia" w:asciiTheme="minorEastAsia" w:hAnsiTheme="minorEastAsia" w:eastAsiaTheme="minorEastAsia" w:cstheme="minorEastAsia"/>
          <w:sz w:val="21"/>
          <w:szCs w:val="21"/>
        </w:rPr>
        <w:t>响应文件递交的截止时间</w:t>
      </w:r>
      <w:r>
        <w:rPr>
          <w:rFonts w:hint="eastAsia" w:asciiTheme="minorEastAsia" w:hAnsiTheme="minorEastAsia" w:eastAsiaTheme="minorEastAsia" w:cstheme="minorEastAsia"/>
          <w:sz w:val="21"/>
          <w:szCs w:val="21"/>
          <w:highlight w:val="none"/>
          <w:lang w:val="en-US" w:eastAsia="zh-CN"/>
        </w:rPr>
        <w:t>为</w:t>
      </w:r>
      <w:r>
        <w:rPr>
          <w:rFonts w:hint="eastAsia" w:asciiTheme="minorEastAsia" w:hAnsiTheme="minorEastAsia" w:eastAsiaTheme="minorEastAsia" w:cstheme="minorEastAsia"/>
          <w:b/>
          <w:bCs/>
          <w:sz w:val="21"/>
          <w:szCs w:val="21"/>
          <w:highlight w:val="none"/>
          <w:u w:val="single"/>
          <w:lang w:val="en-US" w:eastAsia="zh-CN"/>
        </w:rPr>
        <w:t xml:space="preserve"> 2023 </w:t>
      </w:r>
      <w:r>
        <w:rPr>
          <w:rFonts w:hint="eastAsia" w:asciiTheme="minorEastAsia" w:hAnsiTheme="minorEastAsia" w:eastAsiaTheme="minorEastAsia" w:cstheme="minorEastAsia"/>
          <w:b/>
          <w:bCs/>
          <w:sz w:val="21"/>
          <w:szCs w:val="21"/>
          <w:highlight w:val="none"/>
          <w:lang w:val="en-US" w:eastAsia="zh-CN"/>
        </w:rPr>
        <w:t>年</w:t>
      </w:r>
      <w:r>
        <w:rPr>
          <w:rFonts w:hint="eastAsia" w:asciiTheme="minorEastAsia" w:hAnsiTheme="minorEastAsia" w:eastAsiaTheme="minorEastAsia" w:cstheme="minorEastAsia"/>
          <w:b/>
          <w:bCs/>
          <w:sz w:val="21"/>
          <w:szCs w:val="21"/>
          <w:highlight w:val="none"/>
          <w:u w:val="single"/>
          <w:lang w:val="en-US" w:eastAsia="zh-CN"/>
        </w:rPr>
        <w:t xml:space="preserve"> 9 </w:t>
      </w:r>
      <w:r>
        <w:rPr>
          <w:rFonts w:hint="eastAsia" w:asciiTheme="minorEastAsia" w:hAnsiTheme="minorEastAsia" w:eastAsiaTheme="minorEastAsia" w:cstheme="minorEastAsia"/>
          <w:b/>
          <w:bCs/>
          <w:sz w:val="21"/>
          <w:szCs w:val="21"/>
          <w:highlight w:val="none"/>
          <w:lang w:val="en-US" w:eastAsia="zh-CN"/>
        </w:rPr>
        <w:t>月</w:t>
      </w:r>
      <w:r>
        <w:rPr>
          <w:rFonts w:hint="eastAsia" w:asciiTheme="minorEastAsia" w:hAnsiTheme="minorEastAsia" w:eastAsiaTheme="minorEastAsia" w:cstheme="minorEastAsia"/>
          <w:b/>
          <w:bCs/>
          <w:sz w:val="21"/>
          <w:szCs w:val="21"/>
          <w:highlight w:val="none"/>
          <w:u w:val="single"/>
          <w:lang w:val="en-US" w:eastAsia="zh-CN"/>
        </w:rPr>
        <w:t xml:space="preserve"> 19</w:t>
      </w:r>
      <w:r>
        <w:rPr>
          <w:rFonts w:hint="eastAsia" w:asciiTheme="minorEastAsia" w:hAnsiTheme="minorEastAsia" w:eastAsiaTheme="minorEastAsia" w:cstheme="minorEastAsia"/>
          <w:b/>
          <w:bCs/>
          <w:sz w:val="21"/>
          <w:szCs w:val="21"/>
          <w:highlight w:val="none"/>
          <w:lang w:val="en-US" w:eastAsia="zh-CN"/>
        </w:rPr>
        <w:t>日</w:t>
      </w:r>
      <w:r>
        <w:rPr>
          <w:rFonts w:hint="eastAsia" w:asciiTheme="minorEastAsia" w:hAnsiTheme="minorEastAsia" w:eastAsiaTheme="minorEastAsia" w:cstheme="minorEastAsia"/>
          <w:b/>
          <w:bCs/>
          <w:sz w:val="21"/>
          <w:szCs w:val="21"/>
          <w:highlight w:val="none"/>
          <w:u w:val="single"/>
          <w:lang w:val="en-US" w:eastAsia="zh-CN"/>
        </w:rPr>
        <w:t xml:space="preserve"> 10</w:t>
      </w:r>
      <w:r>
        <w:rPr>
          <w:rFonts w:hint="eastAsia" w:asciiTheme="minorEastAsia" w:hAnsiTheme="minorEastAsia" w:eastAsiaTheme="minorEastAsia" w:cstheme="minorEastAsia"/>
          <w:b/>
          <w:bCs/>
          <w:sz w:val="21"/>
          <w:szCs w:val="21"/>
          <w:highlight w:val="none"/>
          <w:lang w:val="en-US" w:eastAsia="zh-CN"/>
        </w:rPr>
        <w:t>时</w:t>
      </w:r>
      <w:r>
        <w:rPr>
          <w:rFonts w:hint="eastAsia" w:asciiTheme="minorEastAsia" w:hAnsiTheme="minorEastAsia" w:eastAsiaTheme="minorEastAsia" w:cstheme="minorEastAsia"/>
          <w:b/>
          <w:bCs/>
          <w:sz w:val="21"/>
          <w:szCs w:val="21"/>
          <w:highlight w:val="none"/>
          <w:u w:val="single"/>
          <w:lang w:val="en-US" w:eastAsia="zh-CN"/>
        </w:rPr>
        <w:t xml:space="preserve"> 00 </w:t>
      </w:r>
      <w:r>
        <w:rPr>
          <w:rFonts w:hint="eastAsia" w:asciiTheme="minorEastAsia" w:hAnsiTheme="minorEastAsia" w:eastAsiaTheme="minorEastAsia" w:cstheme="minorEastAsia"/>
          <w:b/>
          <w:bCs/>
          <w:sz w:val="21"/>
          <w:szCs w:val="21"/>
          <w:highlight w:val="none"/>
          <w:lang w:val="en-US" w:eastAsia="zh-CN"/>
        </w:rPr>
        <w:t>分</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rPr>
        <w:t>供应商的法定代表人或其授权代理人应在文件递交截止时间前</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将响应文件递交</w:t>
      </w:r>
      <w:r>
        <w:rPr>
          <w:rFonts w:hint="eastAsia" w:asciiTheme="minorEastAsia" w:hAnsiTheme="minorEastAsia" w:eastAsiaTheme="minorEastAsia" w:cstheme="minorEastAsia"/>
          <w:sz w:val="21"/>
          <w:szCs w:val="21"/>
          <w:u w:val="none"/>
          <w:lang w:val="en-US" w:eastAsia="zh-CN"/>
        </w:rPr>
        <w:t>至</w:t>
      </w:r>
      <w:r>
        <w:rPr>
          <w:rFonts w:hint="eastAsia" w:asciiTheme="minorEastAsia" w:hAnsiTheme="minorEastAsia" w:eastAsiaTheme="minorEastAsia" w:cstheme="minorEastAsia"/>
          <w:kern w:val="2"/>
          <w:sz w:val="21"/>
          <w:szCs w:val="21"/>
          <w:u w:val="none"/>
        </w:rPr>
        <w:t>安徽省合肥市包河</w:t>
      </w:r>
      <w:r>
        <w:rPr>
          <w:rFonts w:hint="eastAsia" w:asciiTheme="minorEastAsia" w:hAnsiTheme="minorEastAsia" w:eastAsiaTheme="minorEastAsia" w:cstheme="minorEastAsia"/>
          <w:kern w:val="2"/>
          <w:sz w:val="21"/>
          <w:szCs w:val="21"/>
          <w:highlight w:val="none"/>
          <w:u w:val="none"/>
        </w:rPr>
        <w:t>区西藏路1</w:t>
      </w:r>
      <w:r>
        <w:rPr>
          <w:rFonts w:hint="eastAsia" w:asciiTheme="minorEastAsia" w:hAnsiTheme="minorEastAsia" w:eastAsiaTheme="minorEastAsia" w:cstheme="minorEastAsia"/>
          <w:kern w:val="2"/>
          <w:sz w:val="21"/>
          <w:szCs w:val="21"/>
          <w:highlight w:val="none"/>
          <w:u w:val="none"/>
          <w:lang w:val="en-US" w:eastAsia="zh-CN"/>
        </w:rPr>
        <w:t>588</w:t>
      </w:r>
      <w:r>
        <w:rPr>
          <w:rFonts w:hint="eastAsia" w:asciiTheme="minorEastAsia" w:hAnsiTheme="minorEastAsia" w:eastAsiaTheme="minorEastAsia" w:cstheme="minorEastAsia"/>
          <w:kern w:val="2"/>
          <w:sz w:val="21"/>
          <w:szCs w:val="21"/>
          <w:highlight w:val="none"/>
          <w:u w:val="none"/>
        </w:rPr>
        <w:t>号高</w:t>
      </w:r>
      <w:r>
        <w:rPr>
          <w:rFonts w:hint="eastAsia" w:asciiTheme="minorEastAsia" w:hAnsiTheme="minorEastAsia" w:eastAsiaTheme="minorEastAsia" w:cstheme="minorEastAsia"/>
          <w:kern w:val="2"/>
          <w:sz w:val="21"/>
          <w:szCs w:val="21"/>
          <w:u w:val="none"/>
        </w:rPr>
        <w:t>速时代广场C1栋</w:t>
      </w:r>
      <w:r>
        <w:rPr>
          <w:rFonts w:hint="eastAsia" w:asciiTheme="minorEastAsia" w:hAnsiTheme="minorEastAsia" w:eastAsiaTheme="minorEastAsia" w:cstheme="minorEastAsia"/>
          <w:kern w:val="2"/>
          <w:sz w:val="21"/>
          <w:szCs w:val="21"/>
          <w:u w:val="none"/>
          <w:lang w:val="en-US" w:eastAsia="zh-CN"/>
        </w:rPr>
        <w:t>1008</w:t>
      </w:r>
      <w:r>
        <w:rPr>
          <w:rFonts w:hint="eastAsia" w:asciiTheme="minorEastAsia" w:hAnsiTheme="minorEastAsia" w:eastAsiaTheme="minorEastAsia" w:cstheme="minorEastAsia"/>
          <w:kern w:val="2"/>
          <w:sz w:val="21"/>
          <w:szCs w:val="21"/>
          <w:u w:val="none"/>
        </w:rPr>
        <w:t>安徽</w:t>
      </w:r>
      <w:r>
        <w:rPr>
          <w:rFonts w:hint="eastAsia" w:asciiTheme="minorEastAsia" w:hAnsiTheme="minorEastAsia" w:eastAsiaTheme="minorEastAsia" w:cstheme="minorEastAsia"/>
          <w:kern w:val="2"/>
          <w:sz w:val="21"/>
          <w:szCs w:val="21"/>
          <w:u w:val="none"/>
          <w:lang w:val="en-US" w:eastAsia="zh-CN"/>
        </w:rPr>
        <w:t>省经工物资有限公司</w:t>
      </w:r>
      <w:r>
        <w:rPr>
          <w:rFonts w:hint="eastAsia" w:asciiTheme="minorEastAsia" w:hAnsiTheme="minorEastAsia" w:eastAsiaTheme="minorEastAsia" w:cstheme="minorEastAsia"/>
          <w:kern w:val="2"/>
          <w:sz w:val="21"/>
          <w:szCs w:val="21"/>
          <w:lang w:eastAsia="zh-CN"/>
        </w:rPr>
        <w:t>。</w:t>
      </w:r>
    </w:p>
    <w:p>
      <w:pPr>
        <w:pStyle w:val="5"/>
        <w:snapToGrid w:val="0"/>
        <w:spacing w:before="120" w:after="120" w:line="240" w:lineRule="auto"/>
        <w:ind w:firstLine="403"/>
        <w:rPr>
          <w:rFonts w:hint="eastAsia" w:ascii="Times New Roman" w:hAnsi="Times New Roman" w:eastAsia="黑体" w:cs="Times New Roman"/>
          <w:b w:val="0"/>
          <w:sz w:val="22"/>
          <w:szCs w:val="15"/>
        </w:rPr>
      </w:pPr>
      <w:r>
        <w:rPr>
          <w:rFonts w:hint="eastAsia" w:ascii="Times New Roman" w:hAnsi="Times New Roman" w:eastAsia="黑体" w:cs="Times New Roman"/>
          <w:b w:val="0"/>
          <w:sz w:val="22"/>
          <w:szCs w:val="15"/>
        </w:rPr>
        <w:t>响应文件启封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
          <w:bCs/>
          <w:szCs w:val="22"/>
          <w:highlight w:val="none"/>
          <w:lang w:val="en-US" w:eastAsia="zh-CN"/>
        </w:rPr>
      </w:pPr>
      <w:r>
        <w:rPr>
          <w:rFonts w:ascii="Times New Roman" w:hAnsi="Times New Roman" w:cs="Times New Roman"/>
          <w:szCs w:val="22"/>
          <w:highlight w:val="none"/>
        </w:rPr>
        <w:t>响应文件的递交截止时间到后，采购人将于</w:t>
      </w:r>
      <w:r>
        <w:rPr>
          <w:rFonts w:hint="eastAsia" w:ascii="Times New Roman" w:hAnsi="Times New Roman" w:cs="Times New Roman"/>
          <w:szCs w:val="22"/>
          <w:highlight w:val="none"/>
          <w:u w:val="single"/>
        </w:rPr>
        <w:t>安徽省合肥市包河区西藏路1</w:t>
      </w:r>
      <w:r>
        <w:rPr>
          <w:rFonts w:hint="eastAsia" w:ascii="Times New Roman" w:hAnsi="Times New Roman" w:cs="Times New Roman"/>
          <w:szCs w:val="22"/>
          <w:highlight w:val="none"/>
          <w:u w:val="single"/>
          <w:lang w:val="en-US" w:eastAsia="zh-CN"/>
        </w:rPr>
        <w:t>588</w:t>
      </w:r>
      <w:r>
        <w:rPr>
          <w:rFonts w:hint="eastAsia" w:ascii="Times New Roman" w:hAnsi="Times New Roman" w:cs="Times New Roman"/>
          <w:szCs w:val="22"/>
          <w:highlight w:val="none"/>
          <w:u w:val="single"/>
        </w:rPr>
        <w:t>号高速时代广场C1栋</w:t>
      </w:r>
      <w:r>
        <w:rPr>
          <w:rFonts w:hint="eastAsia" w:ascii="Times New Roman" w:hAnsi="Times New Roman" w:cs="Times New Roman"/>
          <w:szCs w:val="22"/>
          <w:highlight w:val="none"/>
          <w:u w:val="single"/>
          <w:lang w:val="en-US" w:eastAsia="zh-CN"/>
        </w:rPr>
        <w:t>1008</w:t>
      </w:r>
      <w:r>
        <w:rPr>
          <w:rFonts w:hint="eastAsia" w:ascii="Times New Roman" w:hAnsi="Times New Roman" w:cs="Times New Roman" w:eastAsiaTheme="minorEastAsia"/>
          <w:kern w:val="2"/>
          <w:sz w:val="21"/>
          <w:szCs w:val="22"/>
          <w:highlight w:val="none"/>
          <w:u w:val="single"/>
        </w:rPr>
        <w:t>安徽</w:t>
      </w:r>
      <w:r>
        <w:rPr>
          <w:rFonts w:hint="eastAsia" w:ascii="Times New Roman" w:hAnsi="Times New Roman" w:cs="Times New Roman" w:eastAsiaTheme="minorEastAsia"/>
          <w:kern w:val="2"/>
          <w:sz w:val="21"/>
          <w:szCs w:val="22"/>
          <w:highlight w:val="none"/>
          <w:u w:val="single"/>
          <w:lang w:val="en-US" w:eastAsia="zh-CN"/>
        </w:rPr>
        <w:t>省经工物资有限公司</w:t>
      </w:r>
      <w:r>
        <w:rPr>
          <w:rFonts w:ascii="Times New Roman" w:hAnsi="Times New Roman" w:cs="Times New Roman"/>
          <w:szCs w:val="22"/>
          <w:highlight w:val="none"/>
        </w:rPr>
        <w:t>（地点）</w:t>
      </w:r>
      <w:r>
        <w:rPr>
          <w:rFonts w:hint="eastAsia" w:ascii="Times New Roman" w:hAnsi="Times New Roman" w:cs="Times New Roman"/>
          <w:szCs w:val="22"/>
          <w:highlight w:val="none"/>
        </w:rPr>
        <w:t>现场</w:t>
      </w:r>
      <w:r>
        <w:rPr>
          <w:rFonts w:ascii="Times New Roman" w:hAnsi="Times New Roman" w:cs="Times New Roman"/>
          <w:szCs w:val="22"/>
          <w:highlight w:val="none"/>
        </w:rPr>
        <w:t>组织进行响应文件的启</w:t>
      </w:r>
      <w:r>
        <w:rPr>
          <w:rFonts w:hint="eastAsia" w:ascii="Times New Roman" w:hAnsi="Times New Roman" w:cs="Times New Roman"/>
          <w:szCs w:val="22"/>
          <w:highlight w:val="none"/>
        </w:rPr>
        <w:t>封。</w:t>
      </w:r>
    </w:p>
    <w:p>
      <w:pPr>
        <w:pStyle w:val="5"/>
        <w:snapToGrid w:val="0"/>
        <w:spacing w:before="120" w:after="120" w:line="240" w:lineRule="auto"/>
        <w:ind w:firstLine="403"/>
        <w:rPr>
          <w:rFonts w:hint="eastAsia" w:ascii="Times New Roman" w:hAnsi="Times New Roman" w:eastAsia="黑体" w:cs="Times New Roman"/>
          <w:b w:val="0"/>
          <w:sz w:val="22"/>
          <w:szCs w:val="15"/>
        </w:rPr>
      </w:pPr>
      <w:r>
        <w:rPr>
          <w:rFonts w:hint="eastAsia" w:ascii="Times New Roman" w:hAnsi="Times New Roman" w:eastAsia="黑体" w:cs="Times New Roman"/>
          <w:b w:val="0"/>
          <w:sz w:val="22"/>
          <w:szCs w:val="15"/>
        </w:rPr>
        <w:t>响应保证金</w:t>
      </w:r>
    </w:p>
    <w:p>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响应保证金的金额：</w:t>
      </w:r>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jc w:val="both"/>
        <w:textAlignment w:val="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本项目响应保证金：</w:t>
      </w:r>
      <w:r>
        <w:rPr>
          <w:rFonts w:hint="eastAsia" w:ascii="宋体" w:hAnsi="宋体" w:eastAsia="宋体" w:cs="宋体"/>
          <w:b/>
          <w:bCs/>
          <w:kern w:val="2"/>
          <w:sz w:val="21"/>
          <w:szCs w:val="21"/>
          <w:highlight w:val="none"/>
          <w:u w:val="single"/>
          <w:lang w:val="en-US" w:eastAsia="zh-CN"/>
        </w:rPr>
        <w:t xml:space="preserve"> </w:t>
      </w:r>
      <w:r>
        <w:rPr>
          <w:rFonts w:hint="eastAsia" w:cs="宋体"/>
          <w:b/>
          <w:bCs/>
          <w:kern w:val="2"/>
          <w:sz w:val="21"/>
          <w:szCs w:val="21"/>
          <w:highlight w:val="none"/>
          <w:u w:val="single"/>
          <w:lang w:val="en-US" w:eastAsia="zh-CN"/>
        </w:rPr>
        <w:t>17000</w:t>
      </w:r>
      <w:r>
        <w:rPr>
          <w:rFonts w:hint="eastAsia" w:ascii="宋体" w:hAnsi="宋体" w:eastAsia="宋体" w:cs="宋体"/>
          <w:b/>
          <w:bCs/>
          <w:kern w:val="2"/>
          <w:sz w:val="21"/>
          <w:szCs w:val="21"/>
          <w:highlight w:val="none"/>
          <w:u w:val="single"/>
          <w:lang w:val="en-US" w:eastAsia="zh-CN"/>
        </w:rPr>
        <w:t xml:space="preserve">   </w:t>
      </w:r>
      <w:r>
        <w:rPr>
          <w:rFonts w:hint="eastAsia" w:ascii="宋体" w:hAnsi="宋体" w:eastAsia="宋体" w:cs="宋体"/>
          <w:b/>
          <w:bCs/>
          <w:kern w:val="2"/>
          <w:sz w:val="21"/>
          <w:szCs w:val="21"/>
          <w:highlight w:val="none"/>
        </w:rPr>
        <w:t>元（大写：</w:t>
      </w:r>
      <w:r>
        <w:rPr>
          <w:rFonts w:hint="eastAsia" w:cs="宋体"/>
          <w:b/>
          <w:bCs/>
          <w:kern w:val="2"/>
          <w:sz w:val="21"/>
          <w:szCs w:val="21"/>
          <w:highlight w:val="none"/>
          <w:u w:val="single"/>
          <w:lang w:val="en-US" w:eastAsia="zh-CN"/>
        </w:rPr>
        <w:t xml:space="preserve"> 壹万柒仟元整</w:t>
      </w:r>
      <w:r>
        <w:rPr>
          <w:rFonts w:hint="eastAsia" w:ascii="宋体" w:hAnsi="宋体" w:eastAsia="宋体" w:cs="宋体"/>
          <w:b/>
          <w:bCs/>
          <w:kern w:val="2"/>
          <w:sz w:val="21"/>
          <w:szCs w:val="21"/>
          <w:highlight w:val="none"/>
          <w:u w:val="single"/>
          <w:lang w:val="en-US" w:eastAsia="zh-CN"/>
        </w:rPr>
        <w:t xml:space="preserve">  </w:t>
      </w:r>
      <w:r>
        <w:rPr>
          <w:rFonts w:hint="eastAsia" w:ascii="宋体" w:hAnsi="宋体" w:eastAsia="宋体" w:cs="宋体"/>
          <w:b/>
          <w:bCs/>
          <w:kern w:val="2"/>
          <w:sz w:val="21"/>
          <w:szCs w:val="21"/>
          <w:highlight w:val="none"/>
          <w:lang w:val="en-US" w:eastAsia="zh-CN"/>
        </w:rPr>
        <w:t xml:space="preserve"> </w:t>
      </w:r>
      <w:r>
        <w:rPr>
          <w:rFonts w:hint="eastAsia" w:ascii="宋体" w:hAnsi="宋体" w:eastAsia="宋体" w:cs="宋体"/>
          <w:b/>
          <w:bCs/>
          <w:kern w:val="2"/>
          <w:sz w:val="21"/>
          <w:szCs w:val="21"/>
          <w:highlight w:val="none"/>
        </w:rPr>
        <w:t>）。</w:t>
      </w:r>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jc w:val="both"/>
        <w:textAlignment w:val="auto"/>
        <w:rPr>
          <w:rFonts w:hint="eastAsia" w:ascii="宋体" w:hAnsi="宋体" w:eastAsia="宋体" w:cs="宋体"/>
          <w:b/>
          <w:bCs/>
          <w:sz w:val="21"/>
          <w:szCs w:val="21"/>
          <w:highlight w:val="none"/>
        </w:rPr>
      </w:pPr>
      <w:r>
        <w:rPr>
          <w:rFonts w:hint="eastAsia" w:ascii="宋体" w:hAnsi="宋体" w:eastAsia="宋体" w:cs="宋体"/>
          <w:kern w:val="2"/>
          <w:sz w:val="21"/>
          <w:szCs w:val="21"/>
          <w:highlight w:val="none"/>
        </w:rPr>
        <w:t>报价方应向询价方以下账户递交询价响应保证金，以转账方式从报价方账户转出</w:t>
      </w:r>
      <w:r>
        <w:rPr>
          <w:rFonts w:hint="eastAsia" w:ascii="宋体" w:hAnsi="宋体" w:eastAsia="宋体" w:cs="宋体"/>
          <w:b w:val="0"/>
          <w:bCs w:val="0"/>
          <w:kern w:val="2"/>
          <w:sz w:val="21"/>
          <w:szCs w:val="21"/>
          <w:highlight w:val="none"/>
        </w:rPr>
        <w:t>，</w:t>
      </w:r>
      <w:r>
        <w:rPr>
          <w:rFonts w:hint="eastAsia" w:ascii="宋体" w:hAnsi="宋体" w:eastAsia="宋体" w:cs="宋体"/>
          <w:b/>
          <w:bCs/>
          <w:kern w:val="2"/>
          <w:sz w:val="21"/>
          <w:szCs w:val="21"/>
          <w:highlight w:val="none"/>
        </w:rPr>
        <w:t>并将银行的电子回执单作为其响应文件的组成部分。</w:t>
      </w:r>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jc w:val="both"/>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rPr>
        <w:t>户名：安徽</w:t>
      </w:r>
      <w:r>
        <w:rPr>
          <w:rFonts w:hint="eastAsia" w:ascii="宋体" w:hAnsi="宋体" w:eastAsia="宋体" w:cs="宋体"/>
          <w:b/>
          <w:bCs/>
          <w:kern w:val="2"/>
          <w:sz w:val="21"/>
          <w:szCs w:val="21"/>
          <w:lang w:val="en-US" w:eastAsia="zh-CN"/>
        </w:rPr>
        <w:t>省经工物</w:t>
      </w:r>
      <w:r>
        <w:rPr>
          <w:rFonts w:hint="eastAsia" w:cs="宋体"/>
          <w:b/>
          <w:bCs/>
          <w:kern w:val="2"/>
          <w:sz w:val="21"/>
          <w:szCs w:val="21"/>
          <w:lang w:val="en-US" w:eastAsia="zh-CN"/>
        </w:rPr>
        <w:t>资</w:t>
      </w:r>
      <w:r>
        <w:rPr>
          <w:rFonts w:hint="eastAsia" w:ascii="宋体" w:hAnsi="宋体" w:eastAsia="宋体" w:cs="宋体"/>
          <w:b/>
          <w:bCs/>
          <w:kern w:val="2"/>
          <w:sz w:val="21"/>
          <w:szCs w:val="21"/>
          <w:lang w:val="en-US" w:eastAsia="zh-CN"/>
        </w:rPr>
        <w:t>有限公司</w:t>
      </w:r>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jc w:val="both"/>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开户银行</w:t>
      </w:r>
      <w:r>
        <w:rPr>
          <w:rFonts w:hint="eastAsia" w:ascii="宋体" w:hAnsi="宋体" w:eastAsia="宋体" w:cs="宋体"/>
          <w:b/>
          <w:bCs/>
          <w:kern w:val="2"/>
          <w:sz w:val="21"/>
          <w:szCs w:val="21"/>
        </w:rPr>
        <w:t>：</w:t>
      </w:r>
      <w:r>
        <w:rPr>
          <w:rFonts w:hint="eastAsia" w:ascii="宋体" w:hAnsi="宋体" w:eastAsia="宋体" w:cs="宋体"/>
          <w:b/>
          <w:bCs/>
          <w:kern w:val="2"/>
          <w:sz w:val="21"/>
          <w:szCs w:val="21"/>
          <w:lang w:val="en-US" w:eastAsia="zh-CN"/>
        </w:rPr>
        <w:t>工行合肥东陈岗支行</w:t>
      </w:r>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jc w:val="both"/>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rPr>
        <w:t>账号：</w:t>
      </w:r>
      <w:r>
        <w:rPr>
          <w:rFonts w:hint="eastAsia" w:ascii="宋体" w:hAnsi="宋体" w:eastAsia="宋体" w:cs="宋体"/>
          <w:b/>
          <w:bCs/>
          <w:kern w:val="2"/>
          <w:sz w:val="21"/>
          <w:szCs w:val="21"/>
          <w:lang w:val="en-US" w:eastAsia="zh-CN"/>
        </w:rPr>
        <w:t xml:space="preserve">1302 </w:t>
      </w:r>
      <w:r>
        <w:rPr>
          <w:rFonts w:hint="eastAsia" w:cs="宋体"/>
          <w:b/>
          <w:bCs/>
          <w:kern w:val="2"/>
          <w:sz w:val="21"/>
          <w:szCs w:val="21"/>
          <w:lang w:val="en-US" w:eastAsia="zh-CN"/>
        </w:rPr>
        <w:t>0121</w:t>
      </w:r>
      <w:r>
        <w:rPr>
          <w:rFonts w:hint="eastAsia" w:ascii="宋体" w:hAnsi="宋体" w:eastAsia="宋体" w:cs="宋体"/>
          <w:b/>
          <w:bCs/>
          <w:kern w:val="2"/>
          <w:sz w:val="21"/>
          <w:szCs w:val="21"/>
          <w:lang w:val="en-US" w:eastAsia="zh-CN"/>
        </w:rPr>
        <w:t xml:space="preserve"> 1</w:t>
      </w:r>
      <w:r>
        <w:rPr>
          <w:rFonts w:hint="eastAsia" w:cs="宋体"/>
          <w:b/>
          <w:bCs/>
          <w:kern w:val="2"/>
          <w:sz w:val="21"/>
          <w:szCs w:val="21"/>
          <w:lang w:val="en-US" w:eastAsia="zh-CN"/>
        </w:rPr>
        <w:t>920</w:t>
      </w:r>
      <w:r>
        <w:rPr>
          <w:rFonts w:hint="eastAsia" w:ascii="宋体" w:hAnsi="宋体" w:eastAsia="宋体" w:cs="宋体"/>
          <w:b/>
          <w:bCs/>
          <w:kern w:val="2"/>
          <w:sz w:val="21"/>
          <w:szCs w:val="21"/>
          <w:lang w:val="en-US" w:eastAsia="zh-CN"/>
        </w:rPr>
        <w:t xml:space="preserve"> 00</w:t>
      </w:r>
      <w:r>
        <w:rPr>
          <w:rFonts w:hint="eastAsia" w:cs="宋体"/>
          <w:b/>
          <w:bCs/>
          <w:kern w:val="2"/>
          <w:sz w:val="21"/>
          <w:szCs w:val="21"/>
          <w:lang w:val="en-US" w:eastAsia="zh-CN"/>
        </w:rPr>
        <w:t>34</w:t>
      </w:r>
      <w:r>
        <w:rPr>
          <w:rFonts w:hint="eastAsia" w:ascii="宋体" w:hAnsi="宋体" w:eastAsia="宋体" w:cs="宋体"/>
          <w:b/>
          <w:bCs/>
          <w:kern w:val="2"/>
          <w:sz w:val="21"/>
          <w:szCs w:val="21"/>
          <w:lang w:val="en-US" w:eastAsia="zh-CN"/>
        </w:rPr>
        <w:t xml:space="preserve"> 038</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汇款或转账时，报价方必须在付款凭证备注栏中注明</w:t>
      </w:r>
      <w:r>
        <w:rPr>
          <w:rFonts w:hint="eastAsia" w:ascii="宋体" w:hAnsi="宋体" w:eastAsia="宋体" w:cs="宋体"/>
          <w:b/>
          <w:bCs/>
          <w:sz w:val="21"/>
          <w:szCs w:val="21"/>
          <w:highlight w:val="none"/>
          <w:u w:val="single"/>
        </w:rPr>
        <w:t>“</w:t>
      </w:r>
      <w:r>
        <w:rPr>
          <w:rFonts w:hint="eastAsia" w:ascii="宋体" w:hAnsi="宋体" w:eastAsia="宋体" w:cs="宋体"/>
          <w:b/>
          <w:bCs/>
          <w:sz w:val="21"/>
          <w:szCs w:val="21"/>
          <w:highlight w:val="none"/>
          <w:u w:val="single"/>
          <w:lang w:val="en-US" w:eastAsia="zh-CN"/>
        </w:rPr>
        <w:t>无岳高速公路充电桩采购项目</w:t>
      </w:r>
      <w:r>
        <w:rPr>
          <w:rFonts w:hint="eastAsia" w:ascii="宋体" w:hAnsi="宋体" w:eastAsia="宋体" w:cs="宋体"/>
          <w:b/>
          <w:bCs/>
          <w:sz w:val="21"/>
          <w:szCs w:val="21"/>
          <w:highlight w:val="none"/>
          <w:u w:val="single"/>
        </w:rPr>
        <w:t>”</w:t>
      </w:r>
      <w:r>
        <w:rPr>
          <w:rFonts w:hint="eastAsia" w:ascii="宋体" w:hAnsi="宋体" w:eastAsia="宋体" w:cs="宋体"/>
          <w:sz w:val="21"/>
          <w:szCs w:val="21"/>
        </w:rPr>
        <w:t>字样。保证金备注栏中必须明确所参与具体标段名称，因报价方未备注或错误备注而导致不能及时查验到账的，责任由报价方承担。若采用电汇（转账）形式，询价响应保证金必须由报价方的账户一次性汇入本询价文件所示账户，并在</w:t>
      </w:r>
      <w:r>
        <w:rPr>
          <w:rFonts w:hint="eastAsia" w:ascii="宋体" w:hAnsi="宋体" w:eastAsia="宋体" w:cs="宋体"/>
          <w:b/>
          <w:bCs/>
          <w:sz w:val="21"/>
          <w:szCs w:val="21"/>
          <w:highlight w:val="none"/>
          <w:u w:val="single"/>
        </w:rPr>
        <w:t>投标截止时间前一个小时到账，否则无效</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p>
    <w:p>
      <w:pPr>
        <w:pStyle w:val="5"/>
        <w:snapToGrid w:val="0"/>
        <w:spacing w:before="120" w:after="120" w:line="240" w:lineRule="auto"/>
        <w:ind w:firstLine="403"/>
        <w:rPr>
          <w:rFonts w:hint="eastAsia" w:ascii="Times New Roman" w:hAnsi="Times New Roman" w:eastAsia="黑体" w:cs="Times New Roman"/>
          <w:b w:val="0"/>
          <w:sz w:val="22"/>
          <w:szCs w:val="15"/>
        </w:rPr>
      </w:pPr>
      <w:r>
        <w:rPr>
          <w:rFonts w:hint="eastAsia" w:ascii="Times New Roman" w:hAnsi="Times New Roman" w:eastAsia="黑体" w:cs="Times New Roman"/>
          <w:b w:val="0"/>
          <w:sz w:val="22"/>
          <w:szCs w:val="15"/>
        </w:rPr>
        <w:t>发布公告的媒介</w:t>
      </w:r>
      <w:bookmarkEnd w:id="34"/>
      <w:bookmarkEnd w:id="35"/>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本次采购公告在</w:t>
      </w:r>
      <w:r>
        <w:rPr>
          <w:rFonts w:hint="eastAsia" w:ascii="宋体" w:hAnsi="宋体" w:eastAsia="宋体" w:cs="宋体"/>
          <w:b/>
          <w:bCs/>
          <w:sz w:val="21"/>
          <w:szCs w:val="21"/>
          <w:u w:val="single"/>
        </w:rPr>
        <w:t>“安徽</w:t>
      </w:r>
      <w:r>
        <w:rPr>
          <w:rFonts w:hint="eastAsia" w:ascii="宋体" w:hAnsi="宋体" w:eastAsia="宋体" w:cs="宋体"/>
          <w:b/>
          <w:bCs/>
          <w:sz w:val="21"/>
          <w:szCs w:val="21"/>
          <w:u w:val="single"/>
          <w:lang w:val="en-US" w:eastAsia="zh-CN"/>
        </w:rPr>
        <w:t>省经工建设集团有限公司</w:t>
      </w:r>
      <w:r>
        <w:rPr>
          <w:rFonts w:hint="eastAsia" w:ascii="宋体" w:hAnsi="宋体" w:eastAsia="宋体" w:cs="宋体"/>
          <w:b/>
          <w:bCs/>
          <w:sz w:val="21"/>
          <w:szCs w:val="21"/>
          <w:u w:val="single"/>
        </w:rPr>
        <w:t>网站（https://www.ahjggroup.com/）“</w:t>
      </w:r>
      <w:r>
        <w:rPr>
          <w:rFonts w:hint="eastAsia" w:ascii="宋体" w:hAnsi="宋体" w:eastAsia="宋体" w:cs="宋体"/>
          <w:b/>
          <w:bCs/>
          <w:sz w:val="21"/>
          <w:szCs w:val="21"/>
          <w:u w:val="single"/>
          <w:lang w:val="en-US" w:eastAsia="zh-CN"/>
        </w:rPr>
        <w:t>通知公告</w:t>
      </w:r>
      <w:r>
        <w:rPr>
          <w:rFonts w:hint="eastAsia" w:ascii="宋体" w:hAnsi="宋体" w:eastAsia="宋体" w:cs="宋体"/>
          <w:b/>
          <w:bCs/>
          <w:sz w:val="21"/>
          <w:szCs w:val="21"/>
          <w:u w:val="single"/>
        </w:rPr>
        <w:t>”栏</w:t>
      </w:r>
      <w:r>
        <w:rPr>
          <w:rFonts w:hint="eastAsia" w:ascii="宋体" w:hAnsi="宋体" w:eastAsia="宋体" w:cs="宋体"/>
          <w:sz w:val="21"/>
          <w:szCs w:val="21"/>
        </w:rPr>
        <w:t>上发布。</w:t>
      </w:r>
    </w:p>
    <w:p>
      <w:pPr>
        <w:pStyle w:val="5"/>
        <w:snapToGrid w:val="0"/>
        <w:spacing w:before="120" w:after="120" w:line="240" w:lineRule="auto"/>
        <w:ind w:firstLine="403"/>
        <w:rPr>
          <w:rFonts w:hint="eastAsia" w:ascii="宋体" w:hAnsi="宋体" w:eastAsia="宋体" w:cs="宋体"/>
          <w:b w:val="0"/>
          <w:sz w:val="21"/>
          <w:szCs w:val="21"/>
        </w:rPr>
      </w:pPr>
      <w:bookmarkStart w:id="36" w:name="_Toc20572_WPSOffice_Level2"/>
      <w:bookmarkStart w:id="37" w:name="_Toc28571_WPSOffice_Level2"/>
      <w:bookmarkStart w:id="38" w:name="_Toc26829"/>
      <w:bookmarkStart w:id="39" w:name="_Toc321_WPSOffice_Level2"/>
      <w:bookmarkStart w:id="40" w:name="_Toc14943_WPSOffice_Level2"/>
      <w:bookmarkStart w:id="41" w:name="_Toc525632592"/>
      <w:bookmarkStart w:id="42" w:name="_Toc8501"/>
      <w:r>
        <w:rPr>
          <w:rFonts w:hint="eastAsia" w:ascii="Times New Roman" w:hAnsi="Times New Roman" w:eastAsia="黑体" w:cs="Times New Roman"/>
          <w:b w:val="0"/>
          <w:sz w:val="22"/>
          <w:szCs w:val="15"/>
        </w:rPr>
        <w:t>采购人联系方式</w:t>
      </w:r>
      <w:bookmarkEnd w:id="36"/>
      <w:bookmarkEnd w:id="37"/>
      <w:bookmarkEnd w:id="38"/>
      <w:bookmarkEnd w:id="39"/>
      <w:bookmarkEnd w:id="40"/>
      <w:bookmarkEnd w:id="41"/>
      <w:bookmarkEnd w:id="42"/>
      <w:r>
        <w:rPr>
          <w:rFonts w:hint="eastAsia" w:ascii="Times New Roman" w:hAnsi="Times New Roman" w:eastAsia="黑体" w:cs="Times New Roman"/>
          <w:b w:val="0"/>
          <w:sz w:val="22"/>
          <w:szCs w:val="15"/>
          <w:lang w:val="en-US" w:eastAsia="zh-CN"/>
        </w:rPr>
        <w:t xml:space="preserve">     </w:t>
      </w:r>
      <w:r>
        <w:rPr>
          <w:rFonts w:hint="eastAsia" w:ascii="宋体" w:hAnsi="宋体" w:eastAsia="宋体" w:cs="宋体"/>
          <w:b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 购 人：</w:t>
      </w:r>
      <w:r>
        <w:rPr>
          <w:rFonts w:hint="eastAsia" w:ascii="宋体" w:hAnsi="宋体" w:eastAsia="宋体" w:cs="宋体"/>
          <w:kern w:val="2"/>
          <w:sz w:val="21"/>
          <w:szCs w:val="21"/>
        </w:rPr>
        <w:t>安徽</w:t>
      </w:r>
      <w:r>
        <w:rPr>
          <w:rFonts w:hint="eastAsia" w:ascii="宋体" w:hAnsi="宋体" w:eastAsia="宋体" w:cs="宋体"/>
          <w:kern w:val="2"/>
          <w:sz w:val="21"/>
          <w:szCs w:val="21"/>
          <w:lang w:val="en-US" w:eastAsia="zh-CN"/>
        </w:rPr>
        <w:t>省经工物资有限公司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地    址：</w:t>
      </w:r>
      <w:r>
        <w:rPr>
          <w:rFonts w:hint="eastAsia" w:ascii="宋体" w:hAnsi="宋体" w:eastAsia="宋体" w:cs="宋体"/>
          <w:kern w:val="2"/>
          <w:sz w:val="21"/>
          <w:szCs w:val="21"/>
        </w:rPr>
        <w:t>安徽省合肥市包河区西藏路</w:t>
      </w: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val="en-US" w:eastAsia="zh-CN"/>
        </w:rPr>
        <w:t>588</w:t>
      </w:r>
      <w:r>
        <w:rPr>
          <w:rFonts w:hint="eastAsia" w:ascii="宋体" w:hAnsi="宋体" w:eastAsia="宋体" w:cs="宋体"/>
          <w:kern w:val="2"/>
          <w:sz w:val="21"/>
          <w:szCs w:val="21"/>
          <w:highlight w:val="none"/>
        </w:rPr>
        <w:t>号高</w:t>
      </w:r>
      <w:r>
        <w:rPr>
          <w:rFonts w:hint="eastAsia" w:ascii="宋体" w:hAnsi="宋体" w:eastAsia="宋体" w:cs="宋体"/>
          <w:kern w:val="2"/>
          <w:sz w:val="21"/>
          <w:szCs w:val="21"/>
        </w:rPr>
        <w:t>速时代广场C1栋</w:t>
      </w:r>
      <w:r>
        <w:rPr>
          <w:rFonts w:hint="eastAsia" w:ascii="宋体" w:hAnsi="宋体" w:eastAsia="宋体" w:cs="宋体"/>
          <w:kern w:val="2"/>
          <w:sz w:val="21"/>
          <w:szCs w:val="21"/>
          <w:lang w:val="en-US" w:eastAsia="zh-CN"/>
        </w:rPr>
        <w:t>1008室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 系 人：</w:t>
      </w:r>
      <w:r>
        <w:rPr>
          <w:rFonts w:hint="eastAsia" w:ascii="宋体" w:hAnsi="宋体" w:eastAsia="宋体" w:cs="宋体"/>
          <w:sz w:val="21"/>
          <w:szCs w:val="21"/>
          <w:u w:val="single"/>
          <w:lang w:val="en-US" w:eastAsia="zh-CN"/>
        </w:rPr>
        <w:t xml:space="preserve">     周工、方工              </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电    话：</w:t>
      </w:r>
      <w:r>
        <w:rPr>
          <w:rFonts w:hint="eastAsia" w:ascii="宋体" w:hAnsi="宋体" w:eastAsia="宋体" w:cs="宋体"/>
          <w:sz w:val="21"/>
          <w:szCs w:val="21"/>
          <w:u w:val="single"/>
          <w:lang w:val="en-US" w:eastAsia="zh-CN"/>
        </w:rPr>
        <w:t xml:space="preserve">   15855127123、15256002215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26"/>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Style w:val="26"/>
        <w:jc w:val="righ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2023 </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9 </w:t>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lang w:val="en-US" w:eastAsia="zh-CN"/>
        </w:rPr>
        <w:t xml:space="preserve">15 </w:t>
      </w:r>
      <w:r>
        <w:rPr>
          <w:rFonts w:hint="eastAsia" w:ascii="宋体" w:hAnsi="宋体" w:eastAsia="宋体" w:cs="宋体"/>
          <w:color w:val="auto"/>
          <w:sz w:val="21"/>
          <w:szCs w:val="21"/>
        </w:rPr>
        <w:t>日</w:t>
      </w:r>
    </w:p>
    <w:p>
      <w:pPr>
        <w:rPr>
          <w:rFonts w:ascii="Times New Roman" w:hAnsi="Times New Roman" w:cs="Times New Roman"/>
          <w:sz w:val="24"/>
          <w:szCs w:val="28"/>
        </w:rPr>
      </w:pPr>
    </w:p>
    <w:p>
      <w:pPr>
        <w:rPr>
          <w:rFonts w:ascii="Times New Roman" w:hAnsi="Times New Roman" w:cs="Times New Roman"/>
          <w:sz w:val="24"/>
          <w:szCs w:val="28"/>
        </w:rPr>
      </w:pPr>
      <w:r>
        <w:rPr>
          <w:rFonts w:ascii="Times New Roman" w:hAnsi="Times New Roman" w:cs="Times New Roman"/>
          <w:sz w:val="24"/>
          <w:szCs w:val="28"/>
        </w:rPr>
        <w:br w:type="page"/>
      </w:r>
    </w:p>
    <w:p>
      <w:pPr>
        <w:pStyle w:val="4"/>
        <w:spacing w:before="312" w:after="312"/>
        <w:rPr>
          <w:rFonts w:ascii="Times New Roman" w:hAnsi="Times New Roman" w:eastAsia="宋体" w:cs="Times New Roman"/>
        </w:rPr>
      </w:pPr>
      <w:bookmarkStart w:id="43" w:name="_Toc8695"/>
      <w:r>
        <w:rPr>
          <w:rFonts w:ascii="Times New Roman" w:hAnsi="Times New Roman" w:eastAsia="宋体" w:cs="Times New Roman"/>
        </w:rPr>
        <w:t>供应商须知</w:t>
      </w:r>
      <w:bookmarkEnd w:id="43"/>
    </w:p>
    <w:p>
      <w:pPr>
        <w:spacing w:line="440" w:lineRule="exact"/>
        <w:jc w:val="center"/>
        <w:outlineLvl w:val="1"/>
        <w:rPr>
          <w:rFonts w:ascii="Times New Roman" w:hAnsi="Times New Roman" w:eastAsia="黑体" w:cs="Times New Roman"/>
          <w:sz w:val="28"/>
          <w:szCs w:val="28"/>
        </w:rPr>
      </w:pPr>
      <w:bookmarkStart w:id="44" w:name="_Toc19501"/>
      <w:bookmarkStart w:id="45" w:name="_Toc29381_WPSOffice_Level2"/>
      <w:bookmarkStart w:id="46" w:name="_Toc26656928"/>
      <w:bookmarkStart w:id="47" w:name="_Toc55466811"/>
      <w:bookmarkStart w:id="48" w:name="_Toc16069"/>
      <w:r>
        <w:rPr>
          <w:rFonts w:ascii="Times New Roman" w:hAnsi="Times New Roman" w:eastAsia="黑体" w:cs="Times New Roman"/>
          <w:sz w:val="28"/>
          <w:szCs w:val="28"/>
        </w:rPr>
        <w:t>供应商须知前附表</w:t>
      </w:r>
      <w:bookmarkEnd w:id="44"/>
      <w:bookmarkEnd w:id="45"/>
      <w:bookmarkEnd w:id="46"/>
      <w:bookmarkEnd w:id="47"/>
      <w:bookmarkEnd w:id="48"/>
    </w:p>
    <w:tbl>
      <w:tblPr>
        <w:tblStyle w:val="20"/>
        <w:tblW w:w="9181" w:type="dxa"/>
        <w:tblInd w:w="0" w:type="dxa"/>
        <w:tblLayout w:type="fixed"/>
        <w:tblCellMar>
          <w:top w:w="0" w:type="dxa"/>
          <w:left w:w="108" w:type="dxa"/>
          <w:bottom w:w="0" w:type="dxa"/>
          <w:right w:w="108" w:type="dxa"/>
        </w:tblCellMar>
      </w:tblPr>
      <w:tblGrid>
        <w:gridCol w:w="1000"/>
        <w:gridCol w:w="2572"/>
        <w:gridCol w:w="5609"/>
      </w:tblGrid>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257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编  列  内  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满足国家最新颁布的质量技术标准和本项目的特殊要求。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1.2.2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见第一章 采购公告/采购邀请书第3.1款要求。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1.2.3</w:t>
            </w:r>
          </w:p>
        </w:tc>
        <w:tc>
          <w:tcPr>
            <w:tcW w:w="2572" w:type="dxa"/>
            <w:tcBorders>
              <w:top w:val="single" w:color="auto" w:sz="4" w:space="0"/>
              <w:left w:val="single" w:color="auto" w:sz="4" w:space="0"/>
              <w:bottom w:val="single" w:color="auto" w:sz="4" w:space="0"/>
              <w:right w:val="single" w:color="auto" w:sz="4" w:space="0"/>
            </w:tcBorders>
            <w:vAlign w:val="center"/>
          </w:tcPr>
          <w:p>
            <w:pPr>
              <w:ind w:left="105" w:leftChars="50"/>
              <w:jc w:val="center"/>
              <w:rPr>
                <w:rFonts w:hint="eastAsia" w:ascii="Times New Roman" w:hAnsi="Times New Roman" w:eastAsia="宋体" w:cs="Times New Roman"/>
                <w:szCs w:val="21"/>
              </w:rPr>
            </w:pPr>
            <w:r>
              <w:rPr>
                <w:rFonts w:hint="eastAsia" w:ascii="Times New Roman" w:hAnsi="Times New Roman" w:eastAsia="宋体" w:cs="Times New Roman"/>
                <w:szCs w:val="21"/>
                <w:lang w:eastAsia="zh-CN"/>
              </w:rPr>
              <w:t>供应商</w:t>
            </w:r>
            <w:r>
              <w:rPr>
                <w:rFonts w:hint="eastAsia" w:ascii="Times New Roman" w:hAnsi="Times New Roman" w:eastAsia="宋体" w:cs="Times New Roman"/>
                <w:szCs w:val="21"/>
              </w:rPr>
              <w:t>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资质条件：见附录1</w:t>
            </w:r>
          </w:p>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业绩要求：见附录2</w:t>
            </w:r>
          </w:p>
          <w:p>
            <w:pPr>
              <w:widowControl/>
              <w:spacing w:line="480" w:lineRule="exact"/>
              <w:jc w:val="left"/>
              <w:rPr>
                <w:rFonts w:hint="eastAsia" w:ascii="Times New Roman" w:hAnsi="Times New Roman" w:eastAsia="宋体" w:cs="Times New Roman"/>
                <w:kern w:val="0"/>
                <w:szCs w:val="21"/>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信誉要求：见附录3</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1.2.4</w:t>
            </w:r>
          </w:p>
        </w:tc>
        <w:tc>
          <w:tcPr>
            <w:tcW w:w="2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是否接受联合体投标</w:t>
            </w:r>
          </w:p>
        </w:tc>
        <w:tc>
          <w:tcPr>
            <w:tcW w:w="5609"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rPr>
                <w:rFonts w:hint="eastAsia" w:ascii="Times New Roman" w:hAnsi="Times New Roman" w:eastAsia="宋体" w:cs="Times New Roman"/>
                <w:kern w:val="0"/>
                <w:szCs w:val="21"/>
              </w:rPr>
            </w:pPr>
            <w:r>
              <w:rPr>
                <w:rFonts w:hint="eastAsia" w:ascii="Times New Roman" w:hAnsi="Times New Roman" w:eastAsia="宋体" w:cs="Times New Roman"/>
                <w:szCs w:val="21"/>
              </w:rPr>
              <w:t>不接受</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4</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highlight w:val="none"/>
                <w:lang w:eastAsia="zh-CN"/>
              </w:rPr>
              <w:t>☑</w:t>
            </w:r>
            <w:r>
              <w:rPr>
                <w:rFonts w:hint="eastAsia" w:ascii="Times New Roman" w:hAnsi="Times New Roman" w:eastAsia="宋体" w:cs="Times New Roman"/>
                <w:szCs w:val="21"/>
              </w:rPr>
              <w:t>固定</w:t>
            </w:r>
            <w:r>
              <w:rPr>
                <w:rFonts w:ascii="Times New Roman" w:hAnsi="Times New Roman" w:eastAsia="宋体" w:cs="Times New Roman"/>
                <w:szCs w:val="21"/>
              </w:rPr>
              <w:t>单价</w:t>
            </w:r>
          </w:p>
          <w:p>
            <w:pPr>
              <w:spacing w:line="480" w:lineRule="exact"/>
              <w:rPr>
                <w:rFonts w:ascii="Times New Roman" w:hAnsi="Times New Roman" w:eastAsia="宋体" w:cs="Times New Roman"/>
                <w:szCs w:val="21"/>
              </w:rPr>
            </w:pPr>
            <w:r>
              <w:rPr>
                <w:rFonts w:hint="eastAsia"/>
                <w:lang w:eastAsia="zh-CN"/>
              </w:rPr>
              <w:t>□</w:t>
            </w:r>
            <w:r>
              <w:rPr>
                <w:rFonts w:hint="eastAsia" w:ascii="Times New Roman" w:hAnsi="Times New Roman" w:eastAsia="宋体" w:cs="Times New Roman"/>
                <w:szCs w:val="21"/>
              </w:rPr>
              <w:t>固定</w:t>
            </w:r>
            <w:r>
              <w:rPr>
                <w:rFonts w:ascii="Times New Roman" w:hAnsi="Times New Roman" w:eastAsia="宋体" w:cs="Times New Roman"/>
                <w:szCs w:val="21"/>
              </w:rPr>
              <w:t>总价</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5</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3.4.4</w:t>
            </w:r>
            <w:r>
              <w:rPr>
                <w:rFonts w:hint="eastAsia" w:ascii="Times New Roman" w:hAnsi="Times New Roman" w:eastAsia="宋体" w:cs="Times New Roman"/>
                <w:szCs w:val="21"/>
              </w:rPr>
              <w:t>（3）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cs="Times New Roman"/>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eastAsia" w:ascii="宋体" w:hAnsi="宋体" w:eastAsia="宋体" w:cs="宋体"/>
                <w:sz w:val="22"/>
                <w:szCs w:val="22"/>
              </w:rPr>
              <w:t>报</w:t>
            </w:r>
            <w:r>
              <w:rPr>
                <w:rFonts w:hint="eastAsia" w:ascii="宋体" w:hAnsi="宋体" w:eastAsia="宋体" w:cs="宋体"/>
                <w:sz w:val="21"/>
                <w:szCs w:val="21"/>
              </w:rPr>
              <w:t>价方出现以下情形的，其询价响应保证金将不予退还：</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报价方在规定的响应有效期内撤销其响应文件</w:t>
            </w:r>
            <w:r>
              <w:rPr>
                <w:rFonts w:hint="eastAsia" w:ascii="宋体" w:hAnsi="宋体" w:eastAsia="宋体" w:cs="宋体"/>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Times New Roman" w:hAnsi="Times New Roman" w:eastAsia="宋体" w:cs="Times New Roman"/>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供应商存在以他人名义报价、与他人串通报价、以行贿手段谋取成交、弄虚作假等行为。</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3.6.3（2）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rPr>
            </w:pPr>
            <w:r>
              <w:rPr>
                <w:rFonts w:hint="eastAsia" w:ascii="Times New Roman" w:hAnsi="Times New Roman" w:cs="Times New Roman"/>
              </w:rPr>
              <w:t>响应文件副本份数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Times New Roman" w:hAnsi="Times New Roman" w:eastAsia="宋体" w:cs="Times New Roman"/>
                <w:szCs w:val="21"/>
                <w:highlight w:val="yellow"/>
                <w:u w:val="single"/>
                <w:lang w:val="en-US"/>
              </w:rPr>
            </w:pPr>
            <w:r>
              <w:rPr>
                <w:rFonts w:hint="eastAsia" w:ascii="Times New Roman" w:hAnsi="Times New Roman" w:cs="Times New Roman"/>
                <w:highlight w:val="none"/>
              </w:rPr>
              <w:t>响应文件应</w:t>
            </w:r>
            <w:r>
              <w:rPr>
                <w:rFonts w:hint="eastAsia" w:ascii="Times New Roman" w:hAnsi="Times New Roman" w:cs="Times New Roman"/>
                <w:b w:val="0"/>
                <w:bCs w:val="0"/>
                <w:highlight w:val="none"/>
              </w:rPr>
              <w:t>胶装成册</w:t>
            </w:r>
            <w:r>
              <w:rPr>
                <w:rFonts w:hint="eastAsia" w:ascii="Times New Roman" w:hAnsi="Times New Roman" w:cs="Times New Roman"/>
                <w:b/>
                <w:bCs/>
                <w:highlight w:val="none"/>
              </w:rPr>
              <w:t>，</w:t>
            </w:r>
            <w:r>
              <w:rPr>
                <w:rFonts w:ascii="Times New Roman" w:hAnsi="Times New Roman" w:cs="Times New Roman"/>
                <w:highlight w:val="none"/>
              </w:rPr>
              <w:t>正</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副本各</w:t>
            </w:r>
            <w:r>
              <w:rPr>
                <w:rFonts w:ascii="Times New Roman" w:hAnsi="Times New Roman" w:cs="Times New Roman"/>
                <w:highlight w:val="none"/>
              </w:rPr>
              <w:t>一份。</w:t>
            </w:r>
            <w:r>
              <w:rPr>
                <w:rFonts w:hint="eastAsia" w:ascii="Times New Roman" w:hAnsi="Times New Roman" w:cs="Times New Roman"/>
                <w:highlight w:val="none"/>
                <w:lang w:val="en-US" w:eastAsia="zh-CN"/>
              </w:rPr>
              <w:t xml:space="preserve">正副本内容不一致时，以正本为准。 </w:t>
            </w:r>
          </w:p>
        </w:tc>
      </w:tr>
      <w:tr>
        <w:tblPrEx>
          <w:tblCellMar>
            <w:top w:w="0" w:type="dxa"/>
            <w:left w:w="108" w:type="dxa"/>
            <w:bottom w:w="0" w:type="dxa"/>
            <w:right w:w="108" w:type="dxa"/>
          </w:tblCellMar>
        </w:tblPrEx>
        <w:trPr>
          <w:trHeight w:val="567" w:hRule="atLeast"/>
        </w:trPr>
        <w:tc>
          <w:tcPr>
            <w:tcW w:w="100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r>
              <w:rPr>
                <w:rFonts w:hint="eastAsia" w:ascii="Times New Roman" w:hAnsi="Times New Roman" w:cs="Times New Roman"/>
                <w:lang w:val="en-US" w:eastAsia="zh-CN"/>
              </w:rPr>
              <w:t>4.1</w:t>
            </w:r>
          </w:p>
        </w:tc>
        <w:tc>
          <w:tcPr>
            <w:tcW w:w="2572"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r>
              <w:rPr>
                <w:rFonts w:hint="eastAsia" w:ascii="Times New Roman" w:hAnsi="Times New Roman" w:cs="Times New Roman"/>
                <w:b/>
                <w:bCs/>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imes New Roman" w:hAnsi="Times New Roman" w:cs="Times New Roman"/>
                <w:highlight w:val="yellow"/>
              </w:rPr>
            </w:pPr>
            <w:r>
              <w:rPr>
                <w:rFonts w:ascii="Times New Roman" w:hAnsi="Times New Roman" w:cs="Times New Roman"/>
              </w:rPr>
              <w:t>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tc>
      </w:tr>
      <w:tr>
        <w:tblPrEx>
          <w:tblCellMar>
            <w:top w:w="0" w:type="dxa"/>
            <w:left w:w="108" w:type="dxa"/>
            <w:bottom w:w="0" w:type="dxa"/>
            <w:right w:w="108" w:type="dxa"/>
          </w:tblCellMar>
        </w:tblPrEx>
        <w:trPr>
          <w:trHeight w:val="567"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p>
        </w:tc>
        <w:tc>
          <w:tcPr>
            <w:tcW w:w="56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none"/>
                <w:lang w:val="en-US" w:eastAsia="zh-CN"/>
              </w:rPr>
              <w:t>第一信封（商务技术文件）</w:t>
            </w:r>
            <w:r>
              <w:rPr>
                <w:rFonts w:hint="eastAsia" w:ascii="Times New Roman" w:hAnsi="Times New Roman" w:eastAsia="黑体" w:cs="黑体"/>
                <w:bCs/>
                <w:snapToGrid w:val="0"/>
                <w:kern w:val="0"/>
                <w:szCs w:val="21"/>
              </w:rPr>
              <w:t>响应文件</w:t>
            </w:r>
          </w:p>
          <w:p>
            <w:pPr>
              <w:spacing w:line="440" w:lineRule="exact"/>
              <w:ind w:firstLine="420"/>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80" w:lineRule="exact"/>
              <w:rPr>
                <w:rFonts w:hint="eastAsia" w:ascii="Times New Roman" w:hAnsi="Times New Roman" w:cs="Times New Roman"/>
                <w:highlight w:val="yellow"/>
              </w:rPr>
            </w:pPr>
          </w:p>
        </w:tc>
      </w:tr>
      <w:tr>
        <w:tblPrEx>
          <w:tblCellMar>
            <w:top w:w="0" w:type="dxa"/>
            <w:left w:w="108" w:type="dxa"/>
            <w:bottom w:w="0" w:type="dxa"/>
            <w:right w:w="108" w:type="dxa"/>
          </w:tblCellMar>
        </w:tblPrEx>
        <w:trPr>
          <w:trHeight w:val="567"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p>
        </w:tc>
        <w:tc>
          <w:tcPr>
            <w:tcW w:w="56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响应文件第二信封（报价文件）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none"/>
                <w:lang w:val="en-US" w:eastAsia="zh-CN"/>
              </w:rPr>
              <w:t>第二信封（报价文件）</w:t>
            </w:r>
            <w:r>
              <w:rPr>
                <w:rFonts w:hint="eastAsia" w:ascii="Times New Roman" w:hAnsi="Times New Roman" w:eastAsia="黑体" w:cs="黑体"/>
                <w:bCs/>
                <w:snapToGrid w:val="0"/>
                <w:kern w:val="0"/>
                <w:szCs w:val="21"/>
              </w:rPr>
              <w:t>响应文件</w:t>
            </w:r>
          </w:p>
          <w:p>
            <w:pPr>
              <w:spacing w:line="440" w:lineRule="exact"/>
              <w:ind w:firstLine="420" w:firstLineChars="200"/>
              <w:jc w:val="both"/>
              <w:rPr>
                <w:rFonts w:hint="eastAsia" w:ascii="Times New Roman" w:hAnsi="Times New Roman" w:cs="Times New Roman"/>
                <w:highlight w:val="yellow"/>
              </w:rPr>
            </w:pPr>
            <w:r>
              <w:rPr>
                <w:rFonts w:hint="eastAsia" w:ascii="Times New Roman" w:hAnsi="Times New Roman" w:eastAsia="黑体" w:cs="黑体"/>
                <w:bCs/>
                <w:snapToGrid w:val="0"/>
                <w:kern w:val="0"/>
                <w:szCs w:val="21"/>
                <w:lang w:val="en-US" w:eastAsia="zh-CN"/>
              </w:rPr>
              <w:t>在第一信封开启</w:t>
            </w:r>
            <w:r>
              <w:rPr>
                <w:rFonts w:hint="eastAsia" w:ascii="Times New Roman" w:hAnsi="Times New Roman" w:eastAsia="黑体" w:cs="黑体"/>
                <w:bCs/>
                <w:snapToGrid w:val="0"/>
                <w:kern w:val="0"/>
                <w:szCs w:val="21"/>
              </w:rPr>
              <w:t>前不得开启</w:t>
            </w:r>
          </w:p>
        </w:tc>
      </w:tr>
      <w:tr>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5.2.1（3）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7.4.1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（1）中标后，响应保证金自动转为履约保证金。</w:t>
            </w:r>
          </w:p>
          <w:p>
            <w:pPr>
              <w:snapToGrid w:val="0"/>
              <w:spacing w:line="480" w:lineRule="exact"/>
            </w:pPr>
            <w:r>
              <w:rPr>
                <w:rFonts w:hint="eastAsia" w:ascii="宋体" w:hAnsi="宋体" w:eastAsia="宋体" w:cs="宋体"/>
                <w:kern w:val="2"/>
                <w:sz w:val="21"/>
                <w:szCs w:val="21"/>
                <w:highlight w:val="none"/>
                <w:lang w:val="en-US" w:eastAsia="zh-CN" w:bidi="ar-SA"/>
              </w:rPr>
              <w:t>（2）履约保证金退还时间：该项目物资供应整体验收完成后28天内。</w:t>
            </w:r>
          </w:p>
        </w:tc>
      </w:tr>
      <w:tr>
        <w:tblPrEx>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需要补充的其他内容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ind w:firstLine="420" w:firstLineChars="200"/>
              <w:rPr>
                <w:rFonts w:hint="eastAsia"/>
                <w:lang w:val="en-US" w:eastAsia="zh-CN"/>
              </w:rPr>
            </w:pPr>
            <w:r>
              <w:rPr>
                <w:rFonts w:hint="eastAsia"/>
                <w:lang w:val="en-US" w:eastAsia="zh-CN"/>
              </w:rPr>
              <w:t>投标人或其他利害关系人对评标结果有异议的，应以书面形式提出，异议材料应包括：</w:t>
            </w:r>
          </w:p>
          <w:p>
            <w:pPr>
              <w:snapToGrid w:val="0"/>
              <w:spacing w:line="480" w:lineRule="exact"/>
              <w:rPr>
                <w:rFonts w:hint="eastAsia"/>
                <w:lang w:val="en-US" w:eastAsia="zh-CN"/>
              </w:rPr>
            </w:pPr>
            <w:r>
              <w:rPr>
                <w:rFonts w:hint="eastAsia"/>
                <w:lang w:val="en-US" w:eastAsia="zh-CN"/>
              </w:rPr>
              <w:t>（1）异议人的名称、地址及有效联系方式；</w:t>
            </w:r>
          </w:p>
          <w:p>
            <w:pPr>
              <w:snapToGrid w:val="0"/>
              <w:spacing w:line="480" w:lineRule="exact"/>
              <w:rPr>
                <w:rFonts w:hint="eastAsia"/>
                <w:lang w:val="en-US" w:eastAsia="zh-CN"/>
              </w:rPr>
            </w:pPr>
            <w:r>
              <w:rPr>
                <w:rFonts w:hint="eastAsia"/>
                <w:lang w:val="en-US" w:eastAsia="zh-CN"/>
              </w:rPr>
              <w:t>（2）异议事项的基本事实；</w:t>
            </w:r>
          </w:p>
          <w:p>
            <w:pPr>
              <w:snapToGrid w:val="0"/>
              <w:spacing w:line="480" w:lineRule="exact"/>
              <w:rPr>
                <w:rFonts w:hint="eastAsia"/>
                <w:lang w:val="en-US" w:eastAsia="zh-CN"/>
              </w:rPr>
            </w:pPr>
            <w:r>
              <w:rPr>
                <w:rFonts w:hint="eastAsia"/>
                <w:lang w:val="en-US" w:eastAsia="zh-CN"/>
              </w:rPr>
              <w:t>（3）有效线索和相关证明材料。</w:t>
            </w:r>
          </w:p>
          <w:p>
            <w:pPr>
              <w:snapToGrid w:val="0"/>
              <w:spacing w:line="480" w:lineRule="exact"/>
              <w:ind w:firstLine="420" w:firstLineChars="200"/>
              <w:rPr>
                <w:rFonts w:hint="eastAsia" w:ascii="Times New Roman" w:hAnsi="Times New Roman" w:eastAsia="宋体" w:cs="Times New Roman"/>
                <w:szCs w:val="21"/>
                <w:lang w:val="en-US" w:eastAsia="zh-CN"/>
              </w:rPr>
            </w:pPr>
            <w:r>
              <w:rPr>
                <w:rFonts w:hint="eastAsia"/>
                <w:lang w:val="en-US" w:eastAsia="zh-CN"/>
              </w:rPr>
              <w:t>异议人是法人的，异议材料必须由其法定代表人或者授权代表签字并盖章；其他组织或者个人提出异议的，异议材料必须由其主要负责人或者异议本人签字，并附有效身份证明复印件。</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lang w:val="en-US" w:eastAsia="zh-CN"/>
              </w:rPr>
            </w:pPr>
            <w:r>
              <w:rPr>
                <w:rFonts w:hint="eastAsia"/>
                <w:b/>
                <w:bCs/>
                <w:lang w:val="en-US" w:eastAsia="zh-CN"/>
              </w:rPr>
              <w:t>一、如在约定的供货期限内达不到招标人要求的供货数量：</w:t>
            </w:r>
          </w:p>
          <w:p>
            <w:pPr>
              <w:snapToGrid w:val="0"/>
              <w:spacing w:line="480" w:lineRule="exact"/>
              <w:rPr>
                <w:rFonts w:hint="eastAsia"/>
                <w:lang w:val="en-US" w:eastAsia="zh-CN"/>
              </w:rPr>
            </w:pPr>
            <w:r>
              <w:rPr>
                <w:rFonts w:hint="eastAsia"/>
                <w:lang w:val="en-US" w:eastAsia="zh-CN"/>
              </w:rPr>
              <w:t>1.招标人有权终止合同，并依据合同规定追究法律责任。</w:t>
            </w:r>
          </w:p>
          <w:p>
            <w:pPr>
              <w:snapToGrid w:val="0"/>
              <w:spacing w:line="480" w:lineRule="exact"/>
              <w:rPr>
                <w:rFonts w:hint="eastAsia"/>
                <w:lang w:val="en-US" w:eastAsia="zh-CN"/>
              </w:rPr>
            </w:pPr>
            <w:r>
              <w:rPr>
                <w:rFonts w:hint="eastAsia"/>
                <w:lang w:val="en-US" w:eastAsia="zh-CN"/>
              </w:rPr>
              <w:t>2.采购人有权将违约行为有权按照约定进行处罚。</w:t>
            </w:r>
          </w:p>
          <w:p>
            <w:pPr>
              <w:snapToGrid w:val="0"/>
              <w:spacing w:line="480" w:lineRule="exact"/>
              <w:rPr>
                <w:rFonts w:hint="eastAsia"/>
                <w:lang w:val="en-US" w:eastAsia="zh-CN"/>
              </w:rPr>
            </w:pPr>
            <w:r>
              <w:rPr>
                <w:rFonts w:hint="eastAsia"/>
                <w:b/>
                <w:bCs/>
                <w:lang w:val="en-US" w:eastAsia="zh-CN"/>
              </w:rPr>
              <w:t>二、异常低价，采购人有权做废标处理。</w:t>
            </w:r>
          </w:p>
        </w:tc>
      </w:tr>
    </w:tbl>
    <w:p>
      <w:r>
        <w:rPr>
          <w:rFonts w:hint="eastAsia" w:ascii="Times New Roman" w:hAnsi="Times New Roman" w:cs="Times New Roman"/>
          <w:szCs w:val="21"/>
        </w:rPr>
        <w:t>注：供应商须知正文</w:t>
      </w:r>
      <w:r>
        <w:rPr>
          <w:rFonts w:ascii="Times New Roman" w:hAnsi="Times New Roman" w:cs="Times New Roman"/>
          <w:szCs w:val="21"/>
        </w:rPr>
        <w:t>与前附表</w:t>
      </w:r>
      <w:r>
        <w:rPr>
          <w:rFonts w:hint="eastAsia" w:ascii="Times New Roman" w:hAnsi="Times New Roman" w:cs="Times New Roman"/>
          <w:szCs w:val="21"/>
        </w:rPr>
        <w:t>内容</w:t>
      </w:r>
      <w:r>
        <w:rPr>
          <w:rFonts w:ascii="Times New Roman" w:hAnsi="Times New Roman" w:cs="Times New Roman"/>
          <w:szCs w:val="21"/>
        </w:rPr>
        <w:t>不一致</w:t>
      </w:r>
      <w:r>
        <w:rPr>
          <w:rFonts w:hint="eastAsia" w:ascii="Times New Roman" w:hAnsi="Times New Roman" w:cs="Times New Roman"/>
          <w:szCs w:val="21"/>
        </w:rPr>
        <w:t>时</w:t>
      </w:r>
      <w:r>
        <w:rPr>
          <w:rFonts w:ascii="Times New Roman" w:hAnsi="Times New Roman" w:cs="Times New Roman"/>
          <w:szCs w:val="21"/>
        </w:rPr>
        <w:t>，以供应商</w:t>
      </w:r>
      <w:r>
        <w:rPr>
          <w:rFonts w:hint="eastAsia" w:ascii="Times New Roman" w:hAnsi="Times New Roman" w:cs="Times New Roman"/>
          <w:szCs w:val="21"/>
        </w:rPr>
        <w:t>须知</w:t>
      </w:r>
      <w:r>
        <w:rPr>
          <w:rFonts w:ascii="Times New Roman" w:hAnsi="Times New Roman" w:cs="Times New Roman"/>
          <w:szCs w:val="21"/>
        </w:rPr>
        <w:t>前附表</w:t>
      </w:r>
      <w:r>
        <w:rPr>
          <w:rFonts w:hint="eastAsia" w:ascii="Times New Roman" w:hAnsi="Times New Roman" w:cs="Times New Roman"/>
          <w:szCs w:val="21"/>
        </w:rPr>
        <w:t>的</w:t>
      </w:r>
      <w:r>
        <w:rPr>
          <w:rFonts w:ascii="Times New Roman" w:hAnsi="Times New Roman" w:cs="Times New Roman"/>
          <w:szCs w:val="21"/>
        </w:rPr>
        <w:t>内容为准</w:t>
      </w:r>
      <w:r>
        <w:rPr>
          <w:rFonts w:hint="eastAsia" w:ascii="Times New Roman" w:hAnsi="Times New Roman" w:cs="Times New Roman"/>
          <w:szCs w:val="21"/>
        </w:rPr>
        <w:t>。</w:t>
      </w:r>
    </w:p>
    <w:p>
      <w:pPr>
        <w:rPr>
          <w:rFonts w:ascii="Times New Roman" w:hAnsi="Times New Roman" w:eastAsia="黑体" w:cs="Times New Roman"/>
          <w:bCs/>
          <w:sz w:val="24"/>
          <w:szCs w:val="32"/>
        </w:rPr>
      </w:pPr>
      <w:bookmarkStart w:id="49" w:name="_Toc14201207"/>
      <w:bookmarkStart w:id="50" w:name="_Toc26656938"/>
      <w:bookmarkStart w:id="51" w:name="_Toc9067720"/>
      <w:r>
        <w:rPr>
          <w:rFonts w:ascii="Times New Roman" w:hAnsi="Times New Roman" w:eastAsia="黑体" w:cs="Times New Roman"/>
          <w:bCs/>
          <w:sz w:val="24"/>
          <w:szCs w:val="32"/>
        </w:rPr>
        <w:br w:type="page"/>
      </w:r>
    </w:p>
    <w:p>
      <w:pPr>
        <w:jc w:val="center"/>
        <w:rPr>
          <w:highlight w:val="none"/>
        </w:rPr>
      </w:pPr>
      <w:r>
        <w:rPr>
          <w:rFonts w:hint="eastAsia" w:ascii="黑体" w:eastAsia="黑体"/>
          <w:sz w:val="24"/>
          <w:szCs w:val="24"/>
          <w:highlight w:val="none"/>
        </w:rPr>
        <w:t>附录1 资格审查条件（资质最低条件）</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noWrap w:val="0"/>
            <w:vAlign w:val="center"/>
          </w:tcPr>
          <w:p>
            <w:pPr>
              <w:jc w:val="center"/>
              <w:rPr>
                <w:sz w:val="22"/>
                <w:szCs w:val="22"/>
                <w:highlight w:val="none"/>
              </w:rPr>
            </w:pPr>
            <w:r>
              <w:rPr>
                <w:rFonts w:hint="eastAsia"/>
                <w:sz w:val="22"/>
                <w:szCs w:val="22"/>
                <w:highlight w:val="none"/>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noWrap w:val="0"/>
            <w:vAlign w:val="center"/>
          </w:tcPr>
          <w:p>
            <w:pPr>
              <w:snapToGrid w:val="0"/>
              <w:jc w:val="center"/>
              <w:rPr>
                <w:rFonts w:hint="default"/>
                <w:sz w:val="21"/>
                <w:szCs w:val="21"/>
                <w:highlight w:val="none"/>
                <w:lang w:val="en-US" w:eastAsia="zh-CN"/>
              </w:rPr>
            </w:pPr>
            <w:r>
              <w:rPr>
                <w:rFonts w:hint="eastAsia"/>
                <w:sz w:val="21"/>
                <w:szCs w:val="21"/>
                <w:highlight w:val="none"/>
                <w:lang w:val="en-US" w:eastAsia="zh-CN"/>
              </w:rPr>
              <w:t xml:space="preserve">具备独立法人资格，持有有效的营业执照；具有独立完成本项目的相关能力的生产厂家或制造商。  </w:t>
            </w:r>
          </w:p>
          <w:p>
            <w:pPr>
              <w:jc w:val="center"/>
              <w:rPr>
                <w:rFonts w:hint="eastAsia"/>
                <w:sz w:val="22"/>
                <w:szCs w:val="22"/>
                <w:highlight w:val="none"/>
              </w:rPr>
            </w:pPr>
          </w:p>
        </w:tc>
      </w:tr>
    </w:tbl>
    <w:p>
      <w:pPr>
        <w:tabs>
          <w:tab w:val="left" w:pos="400"/>
        </w:tabs>
        <w:overflowPunct w:val="0"/>
        <w:adjustRightInd w:val="0"/>
        <w:snapToGrid w:val="0"/>
        <w:ind w:firstLine="480" w:firstLineChars="200"/>
        <w:rPr>
          <w:rFonts w:hint="eastAsia" w:ascii="华文楷体" w:hAnsi="华文楷体" w:eastAsia="华文楷体" w:cs="华文楷体"/>
          <w:sz w:val="24"/>
          <w:szCs w:val="24"/>
          <w:highlight w:val="none"/>
        </w:rPr>
      </w:pPr>
    </w:p>
    <w:p>
      <w:pPr>
        <w:pStyle w:val="2"/>
        <w:rPr>
          <w:rFonts w:hint="eastAsia"/>
          <w:highlight w:val="none"/>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rPr>
        <w:t>2</w:t>
      </w:r>
      <w:r>
        <w:rPr>
          <w:rFonts w:hint="eastAsia" w:ascii="黑体" w:eastAsia="黑体"/>
          <w:sz w:val="24"/>
          <w:szCs w:val="24"/>
          <w:highlight w:val="none"/>
        </w:rPr>
        <w:t xml:space="preserve"> 资格审查条件（业绩最低要求）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72" w:type="dxa"/>
            <w:noWrap w:val="0"/>
            <w:vAlign w:val="center"/>
          </w:tcPr>
          <w:p>
            <w:pPr>
              <w:snapToGrid w:val="0"/>
              <w:jc w:val="center"/>
              <w:rPr>
                <w:rFonts w:hAnsi="宋体"/>
                <w:sz w:val="22"/>
                <w:szCs w:val="22"/>
                <w:highlight w:val="none"/>
              </w:rPr>
            </w:pPr>
            <w:r>
              <w:rPr>
                <w:rFonts w:hint="eastAsia"/>
                <w:sz w:val="21"/>
                <w:szCs w:val="21"/>
                <w:highlight w:val="none"/>
                <w:lang w:val="en-US" w:eastAsia="zh-CN"/>
              </w:rPr>
              <w:t>至少提供1个自2020年1月1日以来，单项合同额不低于100万元的充电桩销售合同业绩。</w:t>
            </w:r>
          </w:p>
        </w:tc>
      </w:tr>
    </w:tbl>
    <w:p>
      <w:pPr>
        <w:bidi w:val="0"/>
        <w:rPr>
          <w:rFonts w:hint="eastAsia"/>
          <w:lang w:val="en-US" w:eastAsia="zh-CN"/>
        </w:rPr>
      </w:pPr>
      <w:r>
        <w:rPr>
          <w:rFonts w:hint="eastAsia"/>
          <w:lang w:val="en-US" w:eastAsia="zh-CN"/>
        </w:rPr>
        <w:t>业绩证明材料要求如下，否则业绩不予认可。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 xml:space="preserve">①合同协议书扫描件；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②若合同协议书中不能明确反映出招标文件所要求内容的（如合同金额、合同签订时间、供货内容等），则须提供业主单位（甲方）出具加盖公章的证明材料扫描件。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③若业绩合同中包含多项设备，则合同中应能体现资格要求中所需设备的内容和金额，无法体现的，须提供供货单据、供货发票、业主验收单等能证明相关评审因素的证明材料，否则业绩不与认可。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szCs w:val="24"/>
          <w:highlight w:val="none"/>
        </w:rPr>
      </w:pPr>
      <w:r>
        <w:rPr>
          <w:rFonts w:hint="eastAsia"/>
          <w:lang w:val="en-US" w:eastAsia="zh-CN"/>
        </w:rPr>
        <w:t>④</w:t>
      </w:r>
      <w:r>
        <w:rPr>
          <w:rFonts w:hint="eastAsia"/>
        </w:rPr>
        <w:t>如近年来，投标人法人机构发生合法变更或重组或法人名称变更时，应提供相关部门的合法批件扫描件或其他相关证明材料扫描件来证明其所</w:t>
      </w:r>
      <w:r>
        <w:rPr>
          <w:rFonts w:hint="eastAsia"/>
          <w:szCs w:val="21"/>
          <w:highlight w:val="none"/>
        </w:rPr>
        <w:t>附业绩的继承性。</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sz w:val="24"/>
          <w:szCs w:val="24"/>
          <w:highlight w:val="none"/>
        </w:rPr>
      </w:pPr>
    </w:p>
    <w:p>
      <w:pPr>
        <w:pStyle w:val="2"/>
        <w:rPr>
          <w:rFonts w:hint="eastAsia"/>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lang w:val="en-US" w:eastAsia="zh-CN"/>
        </w:rPr>
        <w:t>3</w:t>
      </w:r>
      <w:r>
        <w:rPr>
          <w:rFonts w:hint="eastAsia" w:ascii="黑体" w:eastAsia="黑体"/>
          <w:sz w:val="24"/>
          <w:szCs w:val="24"/>
          <w:highlight w:val="none"/>
        </w:rPr>
        <w:t>资格审查条件（信誉最低要求）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noWrap w:val="0"/>
            <w:vAlign w:val="center"/>
          </w:tcPr>
          <w:p>
            <w:pPr>
              <w:spacing w:line="276" w:lineRule="auto"/>
              <w:ind w:firstLine="210" w:firstLineChars="100"/>
              <w:jc w:val="left"/>
              <w:rPr>
                <w:rFonts w:hint="eastAsia"/>
              </w:rPr>
            </w:pPr>
            <w:r>
              <w:rPr>
                <w:rFonts w:hint="eastAsia"/>
              </w:rPr>
              <w:t>1.投标人、法定代表人近三年内无行贿犯罪行为。</w:t>
            </w:r>
          </w:p>
          <w:p>
            <w:pPr>
              <w:spacing w:line="276" w:lineRule="auto"/>
              <w:ind w:firstLine="210" w:firstLineChars="100"/>
              <w:jc w:val="left"/>
              <w:rPr>
                <w:rFonts w:hint="eastAsia"/>
              </w:rPr>
            </w:pPr>
            <w:r>
              <w:rPr>
                <w:rFonts w:hint="eastAsia"/>
              </w:rPr>
              <w:t>2.投标人未被人民法院列入失信被执行人（以“信用中国”官网http://www.creditchina.gov.cn查询为准）。</w:t>
            </w:r>
          </w:p>
          <w:p>
            <w:pPr>
              <w:spacing w:line="276" w:lineRule="auto"/>
              <w:ind w:firstLine="210" w:firstLineChars="100"/>
              <w:jc w:val="left"/>
              <w:rPr>
                <w:rFonts w:hint="eastAsia"/>
              </w:rPr>
            </w:pPr>
            <w:r>
              <w:rPr>
                <w:rFonts w:hint="eastAsia"/>
              </w:rPr>
              <w:t>3投标人没有正受到责令停业，暂扣或吊销执照，或吊销资质证书。</w:t>
            </w:r>
          </w:p>
          <w:p>
            <w:pPr>
              <w:spacing w:line="276" w:lineRule="auto"/>
              <w:ind w:firstLine="210" w:firstLineChars="100"/>
              <w:jc w:val="left"/>
              <w:rPr>
                <w:rFonts w:hint="eastAsia"/>
              </w:rPr>
            </w:pPr>
            <w:r>
              <w:rPr>
                <w:rFonts w:hint="eastAsia"/>
                <w:lang w:val="en-US" w:eastAsia="zh-CN"/>
              </w:rPr>
              <w:t>4</w:t>
            </w:r>
            <w:r>
              <w:rPr>
                <w:rFonts w:hint="eastAsia"/>
              </w:rPr>
              <w:t>.没有进入清算程序，或被宣告破产，或其他丧失履约能力的情形。</w:t>
            </w:r>
          </w:p>
          <w:p>
            <w:pPr>
              <w:spacing w:line="276" w:lineRule="auto"/>
              <w:ind w:firstLine="210" w:firstLineChars="100"/>
              <w:jc w:val="left"/>
              <w:rPr>
                <w:rFonts w:hint="eastAsia"/>
              </w:rPr>
            </w:pPr>
            <w:r>
              <w:rPr>
                <w:rFonts w:hint="eastAsia"/>
                <w:lang w:val="en-US" w:eastAsia="zh-CN"/>
              </w:rPr>
              <w:t>5</w:t>
            </w:r>
            <w:r>
              <w:rPr>
                <w:rFonts w:hint="eastAsia"/>
              </w:rPr>
              <w:t>.没有在国家企业信用信息公示系统（http://www.gsxt.gov.cn）中被列入严重违法失信企业名单。</w:t>
            </w:r>
          </w:p>
          <w:p>
            <w:pPr>
              <w:spacing w:line="276" w:lineRule="auto"/>
              <w:ind w:firstLine="210" w:firstLineChars="100"/>
              <w:jc w:val="left"/>
              <w:rPr>
                <w:rFonts w:hint="eastAsia"/>
              </w:rPr>
            </w:pPr>
            <w:r>
              <w:rPr>
                <w:rFonts w:hint="eastAsia"/>
                <w:lang w:val="en-US" w:eastAsia="zh-CN"/>
              </w:rPr>
              <w:t>6</w:t>
            </w:r>
            <w:r>
              <w:rPr>
                <w:rFonts w:hint="eastAsia"/>
              </w:rPr>
              <w:t>.没有法律法规规定的其他情形。</w:t>
            </w:r>
          </w:p>
          <w:p>
            <w:pPr>
              <w:pStyle w:val="26"/>
              <w:rPr>
                <w:rFonts w:hint="eastAsia"/>
              </w:rPr>
            </w:pPr>
          </w:p>
        </w:tc>
      </w:tr>
    </w:tbl>
    <w:p>
      <w:pPr>
        <w:pStyle w:val="26"/>
        <w:rPr>
          <w:rFonts w:ascii="Times New Roman" w:hAnsi="Times New Roman" w:eastAsia="黑体" w:cs="Times New Roman"/>
          <w:bCs/>
          <w:sz w:val="24"/>
          <w:szCs w:val="32"/>
        </w:rPr>
      </w:pP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rPr>
        <w:t>见供应商须知前附表。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highlight w:val="none"/>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rPr>
        <w:t>供应商应具备承担本合同包</w:t>
      </w:r>
      <w:r>
        <w:rPr>
          <w:rFonts w:hint="eastAsia" w:ascii="Times New Roman" w:hAnsi="Times New Roman" w:cs="Times New Roman"/>
          <w:szCs w:val="21"/>
          <w:highlight w:val="none"/>
          <w:lang w:val="en-US" w:eastAsia="zh-CN"/>
        </w:rPr>
        <w:t>供货</w:t>
      </w:r>
      <w:r>
        <w:rPr>
          <w:rFonts w:ascii="Times New Roman" w:hAnsi="Times New Roman" w:cs="Times New Roman"/>
          <w:szCs w:val="21"/>
          <w:highlight w:val="none"/>
        </w:rPr>
        <w:t xml:space="preserve">的资质条件、能力和信誉：见第一章 </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采购邀请书第3.1款要求</w:t>
      </w:r>
      <w:r>
        <w:rPr>
          <w:rFonts w:ascii="Times New Roman" w:hAnsi="Times New Roman" w:cs="Times New Roman"/>
          <w:szCs w:val="21"/>
          <w:highlight w:val="none"/>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要求：见供应商须知前附表</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hint="eastAsia" w:ascii="Times New Roman" w:hAnsi="Times New Roman" w:cs="Times New Roman"/>
          <w:szCs w:val="21"/>
        </w:rPr>
      </w:pPr>
      <w:r>
        <w:rPr>
          <w:rFonts w:hint="eastAsia" w:ascii="Times New Roman" w:hAnsi="Times New Roman" w:cs="Times New Roman"/>
          <w:szCs w:val="21"/>
        </w:rPr>
        <w:t>供应商准备和参加询比活动发生的费用自理。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ghlight w:val="none"/>
        </w:rPr>
        <w:t>）</w:t>
      </w:r>
      <w:r>
        <w:rPr>
          <w:rFonts w:hint="eastAsia" w:ascii="Times New Roman" w:hAnsi="Times New Roman" w:cs="Times New Roman"/>
          <w:highlight w:val="none"/>
        </w:rPr>
        <w:t>采购公告</w:t>
      </w:r>
      <w:r>
        <w:rPr>
          <w:rFonts w:ascii="Times New Roman" w:hAnsi="Times New Roman" w:cs="Times New Roman"/>
          <w:highlight w:val="none"/>
        </w:rPr>
        <w:t>/</w:t>
      </w:r>
      <w:r>
        <w:rPr>
          <w:rFonts w:hint="eastAsia" w:ascii="Times New Roman" w:hAnsi="Times New Roman" w:cs="Times New Roman"/>
          <w:highlight w:val="none"/>
        </w:rPr>
        <w:t>采购邀请书</w:t>
      </w:r>
      <w:r>
        <w:rPr>
          <w:rFonts w:ascii="Times New Roman" w:hAnsi="Times New Roman" w:cs="Times New Roman"/>
          <w:highlight w:val="none"/>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hint="eastAsia" w:ascii="Times New Roman" w:hAnsi="Times New Roman" w:eastAsia="宋体" w:cs="Times New Roman"/>
          <w:lang w:eastAsia="zh-CN"/>
        </w:rPr>
      </w:pPr>
      <w:r>
        <w:rPr>
          <w:rFonts w:ascii="Times New Roman" w:hAnsi="Times New Roman" w:cs="Times New Roman"/>
        </w:rPr>
        <w:t>（4）合同内容</w:t>
      </w:r>
      <w:r>
        <w:rPr>
          <w:rFonts w:hint="eastAsia" w:ascii="Times New Roman" w:hAnsi="Times New Roman" w:eastAsia="宋体" w:cs="Times New Roman"/>
          <w:lang w:eastAsia="zh-CN"/>
        </w:rPr>
        <w:t>；</w:t>
      </w:r>
    </w:p>
    <w:p>
      <w:pPr>
        <w:spacing w:line="440" w:lineRule="exact"/>
        <w:ind w:firstLine="420"/>
        <w:rPr>
          <w:rFonts w:ascii="Times New Roman" w:hAnsi="Times New Roman"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w:t>
      </w:r>
      <w:r>
        <w:rPr>
          <w:rFonts w:hint="eastAsia" w:ascii="Times New Roman" w:hAnsi="Times New Roman" w:eastAsia="宋体" w:cs="Times New Roman"/>
        </w:rPr>
        <w:t>供货要求</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6</w:t>
      </w:r>
      <w:r>
        <w:rPr>
          <w:rFonts w:ascii="Times New Roman" w:hAnsi="Times New Roman" w:cs="Times New Roman"/>
        </w:rPr>
        <w:t>）采购需求及清单；</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7</w:t>
      </w:r>
      <w:r>
        <w:rPr>
          <w:rFonts w:ascii="Times New Roman" w:hAnsi="Times New Roman" w:cs="Times New Roman"/>
        </w:rPr>
        <w:t>）响应文件格式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w:t>
      </w:r>
      <w:r>
        <w:rPr>
          <w:rFonts w:hint="eastAsia" w:ascii="Times New Roman" w:hAnsi="Times New Roman" w:cs="Times New Roman"/>
        </w:rPr>
        <w:t xml:space="preserve"> </w:t>
      </w:r>
      <w:r>
        <w:rPr>
          <w:rFonts w:ascii="Times New Roman" w:hAnsi="Times New Roman" w:cs="Times New Roman"/>
        </w:rPr>
        <w:t>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w:t>
      </w:r>
      <w:r>
        <w:rPr>
          <w:rFonts w:hint="eastAsia" w:ascii="Times New Roman" w:hAnsi="Times New Roman" w:cs="Times New Roman"/>
          <w:lang w:eastAsia="zh-CN"/>
        </w:rPr>
        <w:t>“</w:t>
      </w:r>
      <w:r>
        <w:rPr>
          <w:rFonts w:hint="eastAsia" w:ascii="Times New Roman" w:hAnsi="Times New Roman" w:cs="Times New Roman"/>
        </w:rPr>
        <w:t>安徽</w:t>
      </w:r>
      <w:r>
        <w:rPr>
          <w:rFonts w:hint="eastAsia" w:ascii="Times New Roman" w:hAnsi="Times New Roman" w:cs="Times New Roman"/>
          <w:lang w:val="en-US" w:eastAsia="zh-CN"/>
        </w:rPr>
        <w:t>省经工建设集团有限公司”官网平台联系采购人</w:t>
      </w:r>
      <w:r>
        <w:rPr>
          <w:rFonts w:ascii="Times New Roman" w:hAnsi="Times New Roman" w:cs="Times New Roman"/>
        </w:rPr>
        <w:t>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商务技术文件应包括下列内容：</w:t>
      </w:r>
    </w:p>
    <w:p>
      <w:pPr>
        <w:numPr>
          <w:ilvl w:val="0"/>
          <w:numId w:val="3"/>
        </w:numPr>
        <w:spacing w:line="440" w:lineRule="exact"/>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响应函；</w:t>
      </w:r>
    </w:p>
    <w:p>
      <w:pPr>
        <w:numPr>
          <w:ilvl w:val="0"/>
          <w:numId w:val="3"/>
        </w:numPr>
        <w:spacing w:line="440" w:lineRule="exact"/>
        <w:ind w:firstLine="420"/>
        <w:rPr>
          <w:rFonts w:hint="eastAsia" w:ascii="宋体" w:hAnsi="宋体" w:eastAsia="宋体" w:cs="宋体"/>
          <w:highlight w:val="none"/>
        </w:rPr>
      </w:pPr>
      <w:r>
        <w:rPr>
          <w:rFonts w:hint="eastAsia" w:ascii="宋体" w:hAnsi="宋体" w:eastAsia="宋体" w:cs="宋体"/>
          <w:highlight w:val="none"/>
        </w:rPr>
        <w:t>法定代表人身份证明及授权委托书；</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）供应商基本情况；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）近年类似业绩情况；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）信誉情况；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供货方案</w:t>
      </w:r>
      <w:r>
        <w:rPr>
          <w:rFonts w:hint="eastAsia" w:ascii="宋体" w:hAnsi="宋体" w:eastAsia="宋体" w:cs="宋体"/>
          <w:highlight w:val="none"/>
        </w:rPr>
        <w:t>；</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）其他材料。</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报价文件包括以下内容：</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报价函</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已标价的工程量清单</w:t>
      </w:r>
      <w:r>
        <w:rPr>
          <w:rFonts w:hint="eastAsia" w:ascii="宋体" w:hAnsi="宋体" w:eastAsia="宋体" w:cs="宋体"/>
          <w:highlight w:val="none"/>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p>
    <w:p>
      <w:pPr>
        <w:spacing w:line="440" w:lineRule="exact"/>
        <w:ind w:firstLine="420"/>
        <w:rPr>
          <w:rFonts w:hint="default" w:ascii="Times New Roman" w:hAnsi="Times New Roman" w:cs="Times New Roman" w:eastAsiaTheme="minorEastAsia"/>
          <w:lang w:val="en-US" w:eastAsia="zh-C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供应商应按第六章“响应文件格式”的要求在报价函中进行报价并填写工程量清单相应表格</w:t>
      </w:r>
      <w:r>
        <w:rPr>
          <w:rFonts w:hint="eastAsia" w:ascii="Times New Roman" w:hAnsi="Times New Roman" w:cs="Times New Roman"/>
          <w:lang w:val="en-US" w:eastAsia="zh-C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rPr>
        <w:t>第2.</w:t>
      </w:r>
      <w:r>
        <w:rPr>
          <w:rFonts w:hint="eastAsia" w:ascii="Times New Roman" w:hAnsi="Times New Roman" w:cs="Times New Roman"/>
          <w:lang w:val="en-US" w:eastAsia="zh-CN"/>
        </w:rPr>
        <w:t>6</w:t>
      </w:r>
      <w:r>
        <w:rPr>
          <w:rFonts w:hint="eastAsia" w:ascii="Times New Roman" w:hAnsi="Times New Roman" w:cs="Times New Roman"/>
        </w:rPr>
        <w:t>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 xml:space="preserve">  见供应商须知前附表  </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szCs w:val="21"/>
        </w:rPr>
        <w:t>见供应商须知前附表</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3.4响应保证金</w:t>
      </w:r>
    </w:p>
    <w:p>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rPr>
        <w:t>第7条的要求</w:t>
      </w:r>
      <w:r>
        <w:rPr>
          <w:rFonts w:ascii="Times New Roman" w:hAnsi="Times New Roman" w:cs="Times New Roman"/>
        </w:rPr>
        <w:t>递交响应保证金，并作为其响应文件的组成部分。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3.4.3 采购人在与成交人签订合同后5日内办理退还响应保证金手续。</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szCs w:val="21"/>
        </w:rPr>
        <w:t>供应商须知前附表规定的</w:t>
      </w:r>
      <w:r>
        <w:rPr>
          <w:rFonts w:ascii="Times New Roman" w:hAnsi="Times New Roman" w:cs="Times New Roman"/>
          <w:szCs w:val="21"/>
        </w:rPr>
        <w:t>其他情形</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3.5资格审查资料</w:t>
      </w:r>
    </w:p>
    <w:p>
      <w:pPr>
        <w:spacing w:line="440" w:lineRule="exact"/>
        <w:ind w:firstLine="420"/>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w:t>
      </w:r>
      <w:r>
        <w:rPr>
          <w:rFonts w:hint="eastAsia" w:ascii="Times New Roman" w:hAnsi="Times New Roman" w:cs="Times New Roman"/>
        </w:rPr>
        <w:t>能力、</w:t>
      </w:r>
      <w:r>
        <w:rPr>
          <w:rFonts w:ascii="Times New Roman" w:hAnsi="Times New Roman" w:cs="Times New Roman"/>
        </w:rPr>
        <w:t>信誉等要求。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响应文件应当对询比文件有关工期、响应有效期、质量要求、技术标准和要求、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hint="default" w:ascii="Times New Roman" w:hAnsi="Times New Roman" w:cs="Times New Roman" w:eastAsiaTheme="minorEastAsia"/>
          <w:lang w:val="en-US" w:eastAsia="zh-CN"/>
        </w:rPr>
      </w:pPr>
      <w:r>
        <w:rPr>
          <w:rFonts w:ascii="Times New Roman" w:hAnsi="Times New Roman" w:cs="Times New Roman"/>
        </w:rPr>
        <w:t>（2）</w:t>
      </w:r>
      <w:r>
        <w:rPr>
          <w:rFonts w:hint="eastAsia" w:ascii="Times New Roman" w:hAnsi="Times New Roman" w:cs="Times New Roman"/>
          <w:lang w:val="en-US" w:eastAsia="zh-CN"/>
        </w:rPr>
        <w:t>响应文件正本一份，副本一份。正本和副本的封面右上角上应清楚地标记“正本”和“副本”的字样。当副本与正本不一致时，以正本文件为准。</w:t>
      </w:r>
    </w:p>
    <w:p>
      <w:pPr>
        <w:spacing w:line="440" w:lineRule="exact"/>
        <w:ind w:firstLine="420"/>
        <w:rPr>
          <w:rFonts w:hint="default" w:ascii="Times New Roman" w:hAnsi="Times New Roman" w:cs="Times New Roman"/>
          <w:highlight w:val="none"/>
          <w:lang w:val="en-US"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响应文件的正本与副本应分别装订。</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4</w:t>
      </w:r>
      <w:r>
        <w:rPr>
          <w:rFonts w:hint="eastAsia" w:ascii="Times New Roman" w:hAnsi="Times New Roman" w:cs="Times New Roman"/>
          <w:highlight w:val="none"/>
          <w:lang w:eastAsia="zh-CN"/>
        </w:rPr>
        <w:t>）</w:t>
      </w:r>
      <w:r>
        <w:rPr>
          <w:rFonts w:hint="eastAsia" w:ascii="Times New Roman" w:hAnsi="Times New Roman" w:cs="Times New Roman"/>
          <w:highlight w:val="none"/>
        </w:rPr>
        <w:t>响应文件其他要求见供应商须知前附表</w:t>
      </w:r>
      <w:r>
        <w:rPr>
          <w:rFonts w:ascii="Times New Roman" w:hAnsi="Times New Roman" w:cs="Times New Roman"/>
          <w:highlight w:val="none"/>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hint="eastAsia" w:ascii="Times New Roman" w:hAnsi="Times New Roman" w:cs="Times New Roman"/>
          <w:lang w:val="en-US" w:eastAsia="zh-C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none"/>
          <w:lang w:val="en-US" w:eastAsia="zh-CN"/>
        </w:rPr>
        <w:t>第一信封（商务技术文件）</w:t>
      </w:r>
      <w:r>
        <w:rPr>
          <w:rFonts w:hint="eastAsia" w:ascii="Times New Roman" w:hAnsi="Times New Roman" w:eastAsia="黑体" w:cs="黑体"/>
          <w:bCs/>
          <w:snapToGrid w:val="0"/>
          <w:kern w:val="0"/>
          <w:szCs w:val="21"/>
        </w:rPr>
        <w:t>响应文件</w:t>
      </w:r>
    </w:p>
    <w:p>
      <w:pPr>
        <w:spacing w:line="440" w:lineRule="exact"/>
        <w:ind w:firstLine="420"/>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响应文件第二信封（报价文件）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none"/>
          <w:lang w:val="en-US" w:eastAsia="zh-CN"/>
        </w:rPr>
        <w:t>第二信封（报价文件）</w:t>
      </w:r>
      <w:r>
        <w:rPr>
          <w:rFonts w:hint="eastAsia" w:ascii="Times New Roman" w:hAnsi="Times New Roman" w:eastAsia="黑体" w:cs="黑体"/>
          <w:bCs/>
          <w:snapToGrid w:val="0"/>
          <w:kern w:val="0"/>
          <w:szCs w:val="21"/>
        </w:rPr>
        <w:t>响应文件</w:t>
      </w:r>
    </w:p>
    <w:p>
      <w:pPr>
        <w:spacing w:line="440" w:lineRule="exact"/>
        <w:ind w:firstLine="420" w:firstLineChars="200"/>
        <w:jc w:val="both"/>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lang w:val="en-US" w:eastAsia="zh-CN"/>
        </w:rPr>
        <w:t>在第一信封开启</w:t>
      </w:r>
      <w:r>
        <w:rPr>
          <w:rFonts w:hint="eastAsia" w:ascii="Times New Roman" w:hAnsi="Times New Roman" w:eastAsia="黑体" w:cs="黑体"/>
          <w:bCs/>
          <w:snapToGrid w:val="0"/>
          <w:kern w:val="0"/>
          <w:szCs w:val="21"/>
        </w:rPr>
        <w:t>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5.2.1主持人按下列程序进行启封：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（2）由供应商推选的代表检查响应文件的密封情况；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rPr>
        <w:t>（3）</w:t>
      </w:r>
      <w:r>
        <w:rPr>
          <w:rFonts w:hint="eastAsia" w:ascii="Times New Roman" w:hAnsi="Times New Roman" w:cs="Times New Roman"/>
          <w:bCs/>
          <w:lang w:val="en-US" w:eastAsia="zh-CN"/>
        </w:rPr>
        <w:t>开启商务技术文件</w:t>
      </w:r>
      <w:r>
        <w:rPr>
          <w:rFonts w:ascii="Times New Roman" w:hAnsi="Times New Roman" w:cs="Times New Roman"/>
          <w:bCs/>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lang w:val="en-US" w:eastAsia="zh-CN"/>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cs="Times New Roman"/>
          <w:bCs/>
          <w:lang w:val="en-US" w:eastAsia="zh-CN"/>
        </w:rPr>
        <w:t>开启报价文件；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6. 评审</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6.1</w:t>
      </w:r>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highlight w:val="none"/>
        </w:rPr>
        <w:t>评审小组人数：3</w:t>
      </w:r>
      <w:r>
        <w:rPr>
          <w:rFonts w:hint="eastAsia" w:ascii="Times New Roman" w:hAnsi="Times New Roman" w:cs="Times New Roman"/>
          <w:highlight w:val="none"/>
          <w:lang w:val="en-US" w:eastAsia="zh-CN"/>
        </w:rPr>
        <w:t>人及以上单数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7. 合同授予</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7.1成交候选人公示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采用公开询比方式采购的项目，公示期不得少于</w:t>
      </w:r>
      <w:r>
        <w:rPr>
          <w:rFonts w:hint="eastAsia" w:ascii="Times New Roman" w:hAnsi="Times New Roman" w:cs="Times New Roman"/>
        </w:rPr>
        <w:t>3</w:t>
      </w:r>
      <w:r>
        <w:rPr>
          <w:rFonts w:ascii="Times New Roman" w:hAnsi="Times New Roman" w:cs="Times New Roman"/>
        </w:rPr>
        <w:t>日。</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7.2评审结果异议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7.3成交候选人履约能力审查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7.4履约保证金</w:t>
      </w:r>
    </w:p>
    <w:p>
      <w:pPr>
        <w:rPr>
          <w:rFonts w:hint="default" w:ascii="宋体" w:hAnsi="宋体" w:eastAsia="宋体" w:cs="宋体"/>
          <w:kern w:val="2"/>
          <w:sz w:val="21"/>
          <w:szCs w:val="21"/>
          <w:lang w:val="en-US" w:eastAsia="zh-CN" w:bidi="ar-SA"/>
        </w:rPr>
      </w:pPr>
      <w:r>
        <w:rPr>
          <w:rFonts w:ascii="Times New Roman" w:hAnsi="Times New Roman" w:cs="Times New Roman"/>
        </w:rPr>
        <w:t>7.4.1</w:t>
      </w:r>
      <w:r>
        <w:rPr>
          <w:rFonts w:hint="eastAsia" w:ascii="宋体" w:hAnsi="宋体" w:eastAsia="宋体" w:cs="宋体"/>
          <w:kern w:val="2"/>
          <w:sz w:val="21"/>
          <w:szCs w:val="21"/>
          <w:lang w:val="en-US" w:eastAsia="zh-CN" w:bidi="ar-SA"/>
        </w:rPr>
        <w:t>中标后，响应保证金自动转为履约保证金。</w:t>
      </w:r>
    </w:p>
    <w:p>
      <w:pPr>
        <w:spacing w:line="440" w:lineRule="exact"/>
        <w:ind w:firstLine="420"/>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7.4.2 成交人不能按本章第7.</w:t>
      </w:r>
      <w:r>
        <w:rPr>
          <w:rFonts w:hint="eastAsia" w:ascii="Times New Roman" w:hAnsi="Times New Roman" w:cs="Times New Roman"/>
        </w:rPr>
        <w:t>4</w:t>
      </w:r>
      <w:r>
        <w:rPr>
          <w:rFonts w:ascii="Times New Roman" w:hAnsi="Times New Roman" w:cs="Times New Roman"/>
        </w:rPr>
        <w:t>.1项要求提交履约保证金的，视为放弃成交候选人，其响应保证金不予退还，给采购人造成的损失超过响应保证金数额的，成交人还应当对超过部分予以赔偿。</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ascii="Times New Roman" w:hAnsi="Times New Roman" w:cs="Times New Roman"/>
          <w:highlight w:val="none"/>
        </w:rPr>
        <w:t>7.4.3履约保证金在</w:t>
      </w:r>
      <w:r>
        <w:rPr>
          <w:rFonts w:hint="eastAsia" w:ascii="宋体" w:hAnsi="宋体" w:eastAsia="宋体" w:cs="宋体"/>
          <w:kern w:val="2"/>
          <w:sz w:val="21"/>
          <w:szCs w:val="21"/>
          <w:highlight w:val="none"/>
          <w:lang w:val="en-US" w:eastAsia="zh-CN" w:bidi="ar-SA"/>
        </w:rPr>
        <w:t>该项目物资供应整体验收完成后28天内无息退还。</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7.5签订合同</w:t>
      </w:r>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8. 纪律和监督</w:t>
      </w:r>
    </w:p>
    <w:p>
      <w:pPr>
        <w:keepNext/>
        <w:keepLines/>
        <w:spacing w:before="120" w:after="120"/>
        <w:outlineLvl w:val="2"/>
        <w:rPr>
          <w:rFonts w:hint="eastAsia" w:ascii="Times New Roman" w:hAnsi="Times New Roman" w:eastAsia="黑体" w:cs="Times New Roman"/>
          <w:bCs/>
          <w:sz w:val="24"/>
          <w:szCs w:val="32"/>
        </w:rPr>
      </w:pPr>
      <w:r>
        <w:rPr>
          <w:rFonts w:hint="eastAsia" w:ascii="Times New Roman" w:hAnsi="Times New Roman" w:eastAsia="黑体" w:cs="Times New Roman"/>
          <w:bCs/>
          <w:sz w:val="24"/>
          <w:szCs w:val="32"/>
          <w:lang w:val="en-US" w:eastAsia="zh-CN"/>
        </w:rPr>
        <w:t xml:space="preserve">8.1 </w:t>
      </w:r>
      <w:r>
        <w:rPr>
          <w:rFonts w:hint="eastAsia" w:ascii="Times New Roman" w:hAnsi="Times New Roman" w:eastAsia="黑体" w:cs="Times New Roman"/>
          <w:bCs/>
          <w:sz w:val="24"/>
          <w:szCs w:val="32"/>
        </w:rPr>
        <w:t>对</w:t>
      </w:r>
      <w:r>
        <w:rPr>
          <w:rFonts w:hint="eastAsia" w:ascii="Times New Roman" w:hAnsi="Times New Roman" w:eastAsia="黑体" w:cs="Times New Roman"/>
          <w:bCs/>
          <w:sz w:val="24"/>
          <w:szCs w:val="32"/>
          <w:lang w:eastAsia="zh-CN"/>
        </w:rPr>
        <w:t>采购</w:t>
      </w:r>
      <w:r>
        <w:rPr>
          <w:rFonts w:hint="eastAsia" w:ascii="Times New Roman" w:hAnsi="Times New Roman" w:eastAsia="黑体" w:cs="Times New Roman"/>
          <w:bCs/>
          <w:sz w:val="24"/>
          <w:szCs w:val="32"/>
        </w:rPr>
        <w:t>人的纪律要求</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eastAsia="zh-CN"/>
        </w:rPr>
        <w:t>采购</w:t>
      </w:r>
      <w:r>
        <w:rPr>
          <w:rFonts w:hint="eastAsia" w:ascii="Times New Roman" w:hAnsi="Times New Roman" w:cs="Times New Roman"/>
        </w:rPr>
        <w:t>人不得泄露</w:t>
      </w:r>
      <w:r>
        <w:rPr>
          <w:rFonts w:hint="eastAsia" w:ascii="Times New Roman" w:hAnsi="Times New Roman" w:cs="Times New Roman"/>
          <w:lang w:eastAsia="zh-CN"/>
        </w:rPr>
        <w:t>采购</w:t>
      </w:r>
      <w:r>
        <w:rPr>
          <w:rFonts w:hint="eastAsia" w:ascii="Times New Roman" w:hAnsi="Times New Roman" w:cs="Times New Roman"/>
        </w:rPr>
        <w:t>活动中应当保密的情况和资料， 不得与</w:t>
      </w:r>
      <w:r>
        <w:rPr>
          <w:rFonts w:hint="eastAsia" w:ascii="Times New Roman" w:hAnsi="Times New Roman" w:cs="Times New Roman"/>
          <w:lang w:eastAsia="zh-CN"/>
        </w:rPr>
        <w:t>响应供应商</w:t>
      </w:r>
      <w:r>
        <w:rPr>
          <w:rFonts w:hint="eastAsia" w:ascii="Times New Roman" w:hAnsi="Times New Roman" w:cs="Times New Roman"/>
        </w:rPr>
        <w:t>串通损害国家利益、社会公共利益或者他人合法权益。</w:t>
      </w:r>
    </w:p>
    <w:p>
      <w:pPr>
        <w:keepNext/>
        <w:keepLines/>
        <w:spacing w:before="120" w:after="120"/>
        <w:outlineLvl w:val="2"/>
        <w:rPr>
          <w:rFonts w:hint="default"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8.2对响应供应商的纪律要求</w:t>
      </w:r>
    </w:p>
    <w:p>
      <w:pPr>
        <w:spacing w:line="440" w:lineRule="exact"/>
        <w:ind w:firstLine="420"/>
        <w:rPr>
          <w:rFonts w:hint="eastAsia" w:ascii="Times New Roman" w:hAnsi="Times New Roman" w:cs="Times New Roman"/>
        </w:rPr>
      </w:pPr>
      <w:r>
        <w:rPr>
          <w:rFonts w:hint="eastAsia"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120" w:after="120"/>
        <w:outlineLvl w:val="2"/>
        <w:rPr>
          <w:rFonts w:hint="eastAsia"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8.3 对评审小组成员的纪律要求</w:t>
      </w:r>
    </w:p>
    <w:p>
      <w:pPr>
        <w:spacing w:line="440" w:lineRule="exact"/>
        <w:ind w:firstLine="420"/>
        <w:rPr>
          <w:rFonts w:hint="default" w:ascii="Times New Roman" w:hAnsi="Times New Roman" w:cs="Times New Roman"/>
          <w:lang w:val="en-US" w:eastAsia="zh-CN"/>
        </w:rPr>
      </w:pPr>
      <w:r>
        <w:rPr>
          <w:rFonts w:hint="eastAsia" w:ascii="Times New Roman" w:hAnsi="Times New Roman" w:cs="Times New Roman"/>
          <w:lang w:eastAsia="zh-CN"/>
        </w:rPr>
        <w:t>评审小组</w:t>
      </w:r>
      <w:r>
        <w:rPr>
          <w:rFonts w:hint="eastAsia" w:ascii="Times New Roman" w:hAnsi="Times New Roman" w:cs="Times New Roman"/>
        </w:rPr>
        <w:t>成员不得收受他人的财物或者其他好处，不得向他人透露对</w:t>
      </w:r>
      <w:r>
        <w:rPr>
          <w:rFonts w:hint="eastAsia" w:ascii="Times New Roman" w:hAnsi="Times New Roman" w:cs="Times New Roman"/>
          <w:lang w:eastAsia="zh-CN"/>
        </w:rPr>
        <w:t>响应</w:t>
      </w:r>
      <w:r>
        <w:rPr>
          <w:rFonts w:hint="eastAsia" w:ascii="Times New Roman" w:hAnsi="Times New Roman" w:cs="Times New Roman"/>
        </w:rPr>
        <w:t>文件的评审和比较、中标候选人的推荐情况以及</w:t>
      </w:r>
      <w:r>
        <w:rPr>
          <w:rFonts w:hint="eastAsia" w:ascii="Times New Roman" w:hAnsi="Times New Roman" w:cs="Times New Roman"/>
          <w:lang w:eastAsia="zh-CN"/>
        </w:rPr>
        <w:t>评审</w:t>
      </w:r>
      <w:r>
        <w:rPr>
          <w:rFonts w:hint="eastAsia" w:ascii="Times New Roman" w:hAnsi="Times New Roman" w:cs="Times New Roman"/>
        </w:rPr>
        <w:t>有关的其他情况。在</w:t>
      </w:r>
      <w:r>
        <w:rPr>
          <w:rFonts w:hint="eastAsia" w:ascii="Times New Roman" w:hAnsi="Times New Roman" w:cs="Times New Roman"/>
          <w:lang w:eastAsia="zh-CN"/>
        </w:rPr>
        <w:t>评审</w:t>
      </w:r>
      <w:r>
        <w:rPr>
          <w:rFonts w:hint="eastAsia" w:ascii="Times New Roman" w:hAnsi="Times New Roman" w:cs="Times New Roman"/>
        </w:rPr>
        <w:t>活动中，</w:t>
      </w:r>
      <w:r>
        <w:rPr>
          <w:rFonts w:hint="eastAsia" w:ascii="Times New Roman" w:hAnsi="Times New Roman" w:cs="Times New Roman"/>
          <w:lang w:eastAsia="zh-CN"/>
        </w:rPr>
        <w:t>评审小组</w:t>
      </w:r>
      <w:r>
        <w:rPr>
          <w:rFonts w:hint="eastAsia" w:ascii="Times New Roman" w:hAnsi="Times New Roman" w:cs="Times New Roman"/>
        </w:rPr>
        <w:t>成员应当客观、公正地履行职责，遵守职业道德，不得擅离职守，影响评标程序正常进行，不得使用第三章“</w:t>
      </w:r>
      <w:r>
        <w:rPr>
          <w:rFonts w:hint="eastAsia" w:ascii="Times New Roman" w:hAnsi="Times New Roman" w:cs="Times New Roman"/>
          <w:lang w:eastAsia="zh-CN"/>
        </w:rPr>
        <w:t>评审</w:t>
      </w:r>
      <w:r>
        <w:rPr>
          <w:rFonts w:hint="eastAsia" w:ascii="Times New Roman" w:hAnsi="Times New Roman" w:cs="Times New Roman"/>
        </w:rPr>
        <w:t>办法”没有规定的评审因素和标准进行</w:t>
      </w:r>
      <w:r>
        <w:rPr>
          <w:rFonts w:hint="eastAsia" w:ascii="Times New Roman" w:hAnsi="Times New Roman" w:cs="Times New Roman"/>
          <w:lang w:eastAsia="zh-CN"/>
        </w:rPr>
        <w:t>评审</w:t>
      </w:r>
      <w:r>
        <w:rPr>
          <w:rFonts w:hint="eastAsia"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hint="eastAsia" w:ascii="Times New Roman" w:hAnsi="Times New Roman" w:eastAsia="黑体" w:cs="Times New Roman"/>
          <w:bCs/>
          <w:sz w:val="24"/>
          <w:szCs w:val="32"/>
        </w:rPr>
        <w:t xml:space="preserve">9. </w:t>
      </w:r>
      <w:r>
        <w:rPr>
          <w:rFonts w:ascii="Times New Roman" w:hAnsi="Times New Roman" w:eastAsia="黑体" w:cs="Times New Roman"/>
          <w:bCs/>
          <w:sz w:val="24"/>
          <w:szCs w:val="32"/>
        </w:rPr>
        <w:t>需要补充的其他内容</w:t>
      </w:r>
    </w:p>
    <w:p>
      <w:pPr>
        <w:spacing w:line="440" w:lineRule="exact"/>
        <w:ind w:firstLine="420"/>
        <w:rPr>
          <w:rFonts w:hint="eastAsia" w:ascii="Times New Roman" w:hAnsi="Times New Roman" w:cs="Times New Roman"/>
        </w:rPr>
      </w:pPr>
      <w:r>
        <w:rPr>
          <w:rFonts w:hint="eastAsia" w:ascii="Times New Roman" w:hAnsi="Times New Roman" w:cs="Times New Roman"/>
        </w:rPr>
        <w:t>需要补充的其他内容：见供应商须知前附表。</w:t>
      </w:r>
    </w:p>
    <w:bookmarkEnd w:id="49"/>
    <w:bookmarkEnd w:id="50"/>
    <w:bookmarkEnd w:id="51"/>
    <w:p>
      <w:pPr>
        <w:spacing w:line="440" w:lineRule="exact"/>
        <w:ind w:firstLine="420"/>
        <w:rPr>
          <w:rFonts w:hint="eastAsia" w:ascii="Times New Roman" w:hAnsi="Times New Roman" w:cs="Times New Roman"/>
        </w:rPr>
      </w:pPr>
      <w:r>
        <w:rPr>
          <w:rFonts w:hint="eastAsia" w:ascii="Times New Roman" w:hAnsi="Times New Roman" w:cs="Times New Roman"/>
        </w:rPr>
        <w:br w:type="page"/>
      </w:r>
    </w:p>
    <w:p>
      <w:pPr>
        <w:pStyle w:val="4"/>
        <w:spacing w:before="312" w:after="312"/>
        <w:rPr>
          <w:rFonts w:ascii="Times New Roman" w:hAnsi="Times New Roman" w:eastAsia="宋体" w:cs="Times New Roman"/>
        </w:rPr>
      </w:pPr>
      <w:bookmarkStart w:id="52" w:name="_Toc18630"/>
      <w:r>
        <w:rPr>
          <w:rFonts w:ascii="Times New Roman" w:hAnsi="Times New Roman" w:eastAsia="宋体" w:cs="Times New Roman"/>
        </w:rPr>
        <w:t>评审办法</w:t>
      </w:r>
      <w:bookmarkEnd w:id="52"/>
    </w:p>
    <w:p>
      <w:pPr>
        <w:rPr>
          <w:rFonts w:ascii="Times New Roman" w:hAnsi="Times New Roman" w:eastAsia="宋体" w:cs="Times New Roman"/>
        </w:rPr>
        <w:sectPr>
          <w:footerReference r:id="rId5"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spacing w:afterLines="100" w:line="420" w:lineRule="exact"/>
        <w:jc w:val="center"/>
        <w:rPr>
          <w:rFonts w:ascii="Times New Roman" w:hAnsi="Times New Roman" w:eastAsia="黑体" w:cs="Times New Roman"/>
          <w:sz w:val="28"/>
          <w:szCs w:val="28"/>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综合评分法</w:t>
      </w:r>
      <w:r>
        <w:rPr>
          <w:rFonts w:hint="eastAsia" w:ascii="Times New Roman" w:hAnsi="Times New Roman" w:eastAsia="黑体" w:cs="Times New Roman"/>
          <w:color w:val="auto"/>
          <w:sz w:val="28"/>
          <w:szCs w:val="28"/>
          <w:highlight w:val="none"/>
          <w:lang w:eastAsia="zh-CN"/>
        </w:rPr>
        <w:t>）</w:t>
      </w:r>
    </w:p>
    <w:p>
      <w:pPr>
        <w:pStyle w:val="30"/>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3" w:name="_Toc457482536"/>
      <w:bookmarkStart w:id="54" w:name="_Toc144974496"/>
      <w:bookmarkStart w:id="55" w:name="_Toc14847"/>
      <w:bookmarkStart w:id="56" w:name="_Toc152045528"/>
      <w:bookmarkStart w:id="57" w:name="_Toc3834"/>
      <w:bookmarkStart w:id="58" w:name="_Toc152042304"/>
      <w:bookmarkStart w:id="59" w:name="_Toc447808662"/>
      <w:r>
        <w:rPr>
          <w:rFonts w:hint="eastAsia" w:ascii="宋体" w:hAnsi="宋体" w:eastAsia="宋体"/>
          <w:b/>
          <w:bCs/>
          <w:szCs w:val="28"/>
        </w:rPr>
        <w:t>前附表</w:t>
      </w:r>
      <w:bookmarkEnd w:id="53"/>
      <w:bookmarkEnd w:id="54"/>
      <w:bookmarkEnd w:id="55"/>
      <w:bookmarkEnd w:id="56"/>
      <w:bookmarkEnd w:id="57"/>
      <w:bookmarkEnd w:id="58"/>
      <w:bookmarkEnd w:id="59"/>
      <w:r>
        <w:rPr>
          <w:rFonts w:hint="eastAsia" w:ascii="宋体" w:hAnsi="宋体" w:eastAsia="宋体"/>
          <w:b/>
          <w:bCs/>
          <w:szCs w:val="28"/>
        </w:rPr>
        <w:t>A</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条款号</w:t>
            </w:r>
          </w:p>
        </w:tc>
        <w:tc>
          <w:tcPr>
            <w:tcW w:w="1774"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评审因素</w:t>
            </w:r>
          </w:p>
        </w:tc>
        <w:tc>
          <w:tcPr>
            <w:tcW w:w="5676"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rPr>
              <w:t>1</w:t>
            </w:r>
          </w:p>
        </w:tc>
        <w:tc>
          <w:tcPr>
            <w:tcW w:w="1060"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rPr>
              <w:t>评审方法</w:t>
            </w:r>
          </w:p>
        </w:tc>
        <w:tc>
          <w:tcPr>
            <w:tcW w:w="1774" w:type="dxa"/>
            <w:tcMar>
              <w:left w:w="75" w:type="dxa"/>
            </w:tcMar>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成交候选人</w:t>
            </w:r>
          </w:p>
          <w:p>
            <w:pPr>
              <w:widowControl/>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rPr>
              <w:t>排序方法</w:t>
            </w:r>
          </w:p>
        </w:tc>
        <w:tc>
          <w:tcPr>
            <w:tcW w:w="5676" w:type="dxa"/>
            <w:tcMar>
              <w:left w:w="75" w:type="dxa"/>
            </w:tcMar>
            <w:vAlign w:val="center"/>
          </w:tcPr>
          <w:p>
            <w:pPr>
              <w:spacing w:line="440" w:lineRule="exact"/>
              <w:rPr>
                <w:rFonts w:hint="eastAsia" w:ascii="宋体" w:hAnsi="宋体" w:eastAsia="宋体" w:cs="宋体"/>
                <w:sz w:val="21"/>
                <w:szCs w:val="21"/>
              </w:rPr>
            </w:pPr>
            <w:r>
              <w:rPr>
                <w:rFonts w:hint="eastAsia" w:ascii="宋体" w:hAnsi="宋体" w:eastAsia="宋体" w:cs="宋体"/>
                <w:sz w:val="21"/>
                <w:szCs w:val="21"/>
              </w:rPr>
              <w:t>按综合得分由高到低的顺序推荐3名</w:t>
            </w:r>
            <w:r>
              <w:rPr>
                <w:rFonts w:hint="eastAsia" w:ascii="宋体" w:hAnsi="宋体" w:eastAsia="宋体" w:cs="宋体"/>
                <w:sz w:val="21"/>
                <w:szCs w:val="21"/>
                <w:lang w:val="en-US" w:eastAsia="zh-CN"/>
              </w:rPr>
              <w:t>成交</w:t>
            </w:r>
            <w:r>
              <w:rPr>
                <w:rFonts w:hint="eastAsia" w:ascii="宋体" w:hAnsi="宋体" w:eastAsia="宋体" w:cs="宋体"/>
                <w:sz w:val="21"/>
                <w:szCs w:val="21"/>
              </w:rPr>
              <w:t>候选人，不足3名则全部推荐。综合评分得分相等时，</w:t>
            </w:r>
            <w:r>
              <w:rPr>
                <w:rFonts w:hint="eastAsia" w:ascii="宋体" w:hAnsi="宋体" w:eastAsia="宋体" w:cs="宋体"/>
                <w:sz w:val="21"/>
                <w:szCs w:val="21"/>
                <w:lang w:val="en-US" w:eastAsia="zh-CN"/>
              </w:rPr>
              <w:t>评审</w:t>
            </w:r>
            <w:r>
              <w:rPr>
                <w:rFonts w:hint="eastAsia" w:ascii="宋体" w:hAnsi="宋体" w:eastAsia="宋体" w:cs="宋体"/>
                <w:sz w:val="21"/>
                <w:szCs w:val="21"/>
              </w:rPr>
              <w:t>委员会依次按照以下优先顺序推荐</w:t>
            </w:r>
            <w:r>
              <w:rPr>
                <w:rFonts w:hint="eastAsia" w:ascii="宋体" w:hAnsi="宋体" w:eastAsia="宋体" w:cs="宋体"/>
                <w:sz w:val="21"/>
                <w:szCs w:val="21"/>
                <w:lang w:val="en-US" w:eastAsia="zh-CN"/>
              </w:rPr>
              <w:t>成交</w:t>
            </w:r>
            <w:r>
              <w:rPr>
                <w:rFonts w:hint="eastAsia" w:ascii="宋体" w:hAnsi="宋体" w:eastAsia="宋体" w:cs="宋体"/>
                <w:sz w:val="21"/>
                <w:szCs w:val="21"/>
              </w:rPr>
              <w:t>候选人：</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响应报价低的投标人</w:t>
            </w:r>
            <w:r>
              <w:rPr>
                <w:rFonts w:hint="eastAsia" w:ascii="宋体" w:hAnsi="宋体" w:eastAsia="宋体" w:cs="宋体"/>
                <w:sz w:val="21"/>
                <w:szCs w:val="21"/>
                <w:highlight w:val="none"/>
              </w:rPr>
              <w:t>优先；</w:t>
            </w:r>
          </w:p>
          <w:p>
            <w:pPr>
              <w:spacing w:line="44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响应文件提供的合格业绩数量多的投标人优先</w:t>
            </w:r>
            <w:r>
              <w:rPr>
                <w:rFonts w:hint="eastAsia" w:ascii="宋体" w:hAnsi="宋体" w:eastAsia="宋体" w:cs="宋体"/>
                <w:sz w:val="21"/>
                <w:szCs w:val="21"/>
                <w:highlight w:val="none"/>
                <w:lang w:eastAsia="zh-CN"/>
              </w:rPr>
              <w:t>；</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）递交响应文件时间早的</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eastAsia="zh-CN"/>
              </w:rPr>
              <w:t>优先。</w:t>
            </w:r>
          </w:p>
        </w:tc>
      </w:tr>
    </w:tbl>
    <w:p>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1759" w:type="dxa"/>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5659" w:type="dxa"/>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与营业执照、资质证书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如有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章“</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签名、</w:t>
            </w:r>
            <w:r>
              <w:rPr>
                <w:rFonts w:hint="eastAsia" w:ascii="宋体" w:hAnsi="宋体" w:eastAsia="宋体" w:cs="宋体"/>
                <w:color w:val="auto"/>
                <w:kern w:val="0"/>
                <w:sz w:val="21"/>
                <w:szCs w:val="21"/>
                <w:highlight w:val="none"/>
              </w:rPr>
              <w:t>盖章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装订</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符合第二章“</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须知”第3.</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响应文件格式</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符合第六章响应文件格式的规定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未出现投标报价</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商务技术文件中未出现有关投标报价的内容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1096"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响应保证金</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（1）报价未超过</w:t>
            </w:r>
            <w:r>
              <w:rPr>
                <w:rFonts w:hint="eastAsia" w:ascii="宋体" w:hAnsi="宋体" w:eastAsia="宋体" w:cs="宋体"/>
                <w:color w:val="auto"/>
                <w:sz w:val="21"/>
                <w:szCs w:val="21"/>
                <w:highlight w:val="none"/>
                <w:lang w:eastAsia="zh-CN"/>
              </w:rPr>
              <w:t>询比文件</w:t>
            </w:r>
            <w:r>
              <w:rPr>
                <w:rFonts w:hint="eastAsia" w:ascii="宋体" w:hAnsi="宋体" w:eastAsia="宋体" w:cs="宋体"/>
                <w:color w:val="auto"/>
                <w:sz w:val="21"/>
                <w:szCs w:val="21"/>
                <w:highlight w:val="none"/>
              </w:rPr>
              <w:t>设定的最高限价。</w:t>
            </w:r>
          </w:p>
          <w:p>
            <w:pPr>
              <w:widowControl/>
              <w:adjustRightInd w:val="0"/>
              <w:snapToGrid w:val="0"/>
              <w:spacing w:line="36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）同一</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未递交两个以上不同的报价。</w:t>
            </w:r>
          </w:p>
          <w:p>
            <w:pPr>
              <w:widowControl/>
              <w:adjustRightInd w:val="0"/>
              <w:snapToGrid w:val="0"/>
              <w:spacing w:line="360" w:lineRule="atLeast"/>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提供的书面</w:t>
            </w:r>
            <w:r>
              <w:rPr>
                <w:rFonts w:hint="eastAsia" w:ascii="宋体" w:hAnsi="宋体" w:eastAsia="宋体" w:cs="宋体"/>
                <w:color w:val="auto"/>
                <w:sz w:val="21"/>
                <w:szCs w:val="21"/>
                <w:highlight w:val="none"/>
                <w:lang w:eastAsia="zh-CN"/>
              </w:rPr>
              <w:t>报价清单</w:t>
            </w:r>
            <w:r>
              <w:rPr>
                <w:rFonts w:hint="eastAsia" w:ascii="宋体" w:hAnsi="宋体" w:eastAsia="宋体" w:cs="宋体"/>
                <w:color w:val="auto"/>
                <w:sz w:val="21"/>
                <w:szCs w:val="21"/>
                <w:highlight w:val="none"/>
                <w:lang w:val="en-US" w:eastAsia="zh-CN"/>
              </w:rPr>
              <w:t>填写了报价，且未修改报价清单说明、数量等实质性内容</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eastAsia="zh-CN"/>
              </w:rPr>
              <w:t>询比文件</w:t>
            </w:r>
            <w:r>
              <w:rPr>
                <w:rFonts w:hint="eastAsia" w:ascii="宋体" w:hAnsi="宋体" w:eastAsia="宋体" w:cs="宋体"/>
                <w:color w:val="auto"/>
                <w:kern w:val="0"/>
                <w:sz w:val="21"/>
                <w:szCs w:val="21"/>
                <w:highlight w:val="none"/>
              </w:rPr>
              <w:t>的其他实质性要求和条件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4"/>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sz w:val="21"/>
                <w:szCs w:val="21"/>
              </w:rPr>
              <w:t>响应文件不符合以上条件之一的，对该响应文件作否决其</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处理。</w:t>
            </w:r>
          </w:p>
        </w:tc>
      </w:tr>
    </w:tbl>
    <w:p>
      <w:pPr>
        <w:widowControl/>
        <w:spacing w:line="360" w:lineRule="atLeast"/>
        <w:jc w:val="center"/>
        <w:rPr>
          <w:rFonts w:ascii="Times New Roman" w:hAnsi="Times New Roman" w:cs="Times New Roma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0"/>
        <w:numPr>
          <w:ilvl w:val="0"/>
          <w:numId w:val="0"/>
        </w:numPr>
        <w:spacing w:before="0"/>
        <w:outlineLvl w:val="9"/>
        <w:rPr>
          <w:rFonts w:hint="eastAsia" w:ascii="宋体" w:hAnsi="宋体" w:eastAsia="宋体"/>
          <w:b/>
          <w:bCs/>
          <w:szCs w:val="28"/>
        </w:rPr>
      </w:pPr>
      <w:r>
        <w:rPr>
          <w:rFonts w:hint="eastAsia" w:ascii="宋体" w:hAnsi="宋体" w:eastAsia="宋体"/>
          <w:b/>
          <w:bCs/>
          <w:szCs w:val="28"/>
        </w:rPr>
        <w:t>前附表B</w:t>
      </w:r>
    </w:p>
    <w:tbl>
      <w:tblPr>
        <w:tblStyle w:val="20"/>
        <w:tblpPr w:leftFromText="180" w:rightFromText="180" w:vertAnchor="text" w:horzAnchor="page" w:tblpX="1860" w:tblpY="200"/>
        <w:tblOverlap w:val="never"/>
        <w:tblW w:w="53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860"/>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26" w:type="dxa"/>
            <w:vAlign w:val="center"/>
          </w:tcPr>
          <w:p>
            <w:pPr>
              <w:pStyle w:val="2"/>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条款号</w:t>
            </w:r>
          </w:p>
        </w:tc>
        <w:tc>
          <w:tcPr>
            <w:tcW w:w="1861" w:type="dxa"/>
            <w:vAlign w:val="center"/>
          </w:tcPr>
          <w:p>
            <w:pPr>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条款内容</w:t>
            </w:r>
          </w:p>
        </w:tc>
        <w:tc>
          <w:tcPr>
            <w:tcW w:w="6393" w:type="dxa"/>
            <w:vAlign w:val="center"/>
          </w:tcPr>
          <w:p>
            <w:pPr>
              <w:adjustRightInd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26" w:type="dxa"/>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2.2.1</w:t>
            </w:r>
          </w:p>
        </w:tc>
        <w:tc>
          <w:tcPr>
            <w:tcW w:w="186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分值构成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（总分100分）</w:t>
            </w:r>
          </w:p>
        </w:tc>
        <w:tc>
          <w:tcPr>
            <w:tcW w:w="6393" w:type="dxa"/>
            <w:vAlign w:val="center"/>
          </w:tcPr>
          <w:p>
            <w:pPr>
              <w:adjustRightInd w:val="0"/>
              <w:spacing w:line="276" w:lineRule="auto"/>
              <w:rPr>
                <w:rFonts w:hint="eastAsia" w:ascii="宋体" w:hAnsi="宋体" w:eastAsia="宋体" w:cs="宋体"/>
                <w:b/>
                <w:bCs/>
                <w:sz w:val="21"/>
                <w:szCs w:val="21"/>
              </w:rPr>
            </w:pPr>
            <w:r>
              <w:rPr>
                <w:rFonts w:hint="eastAsia" w:ascii="宋体" w:hAnsi="宋体" w:eastAsia="宋体" w:cs="宋体"/>
                <w:b/>
                <w:bCs/>
                <w:sz w:val="21"/>
                <w:szCs w:val="21"/>
              </w:rPr>
              <w:t>商务技术文件评分分值构成</w:t>
            </w:r>
            <w:r>
              <w:rPr>
                <w:rFonts w:hint="eastAsia" w:ascii="宋体" w:hAnsi="宋体" w:eastAsia="宋体" w:cs="宋体"/>
                <w:b/>
                <w:bCs/>
                <w:sz w:val="21"/>
                <w:szCs w:val="21"/>
                <w:lang w:eastAsia="zh-CN"/>
              </w:rPr>
              <w:t>：</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highlight w:val="none"/>
                <w:u w:val="single"/>
                <w:lang w:val="en-US" w:eastAsia="zh-CN"/>
              </w:rPr>
              <w:t xml:space="preserve">40 </w:t>
            </w:r>
            <w:r>
              <w:rPr>
                <w:rFonts w:hint="eastAsia" w:ascii="宋体" w:hAnsi="宋体" w:eastAsia="宋体" w:cs="宋体"/>
                <w:b/>
                <w:bCs/>
                <w:sz w:val="21"/>
                <w:szCs w:val="21"/>
                <w:highlight w:val="none"/>
              </w:rPr>
              <w:t>分</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企业业绩：</w:t>
            </w:r>
            <w:r>
              <w:rPr>
                <w:rFonts w:hint="eastAsia" w:ascii="宋体" w:hAnsi="宋体" w:eastAsia="宋体" w:cs="宋体"/>
                <w:sz w:val="21"/>
                <w:szCs w:val="21"/>
                <w:u w:val="single"/>
                <w:lang w:val="en-US" w:eastAsia="zh-CN"/>
              </w:rPr>
              <w:t xml:space="preserve">  10  </w:t>
            </w:r>
            <w:r>
              <w:rPr>
                <w:rFonts w:hint="eastAsia" w:ascii="宋体" w:hAnsi="宋体" w:eastAsia="宋体" w:cs="宋体"/>
                <w:sz w:val="21"/>
                <w:szCs w:val="21"/>
                <w:lang w:val="en-US" w:eastAsia="zh-CN"/>
              </w:rPr>
              <w:t>分</w:t>
            </w:r>
          </w:p>
          <w:p>
            <w:pPr>
              <w:pStyle w:val="2"/>
              <w:rPr>
                <w:rFonts w:hint="default" w:ascii="宋体" w:hAnsi="宋体" w:eastAsia="宋体" w:cs="宋体"/>
                <w:sz w:val="21"/>
                <w:szCs w:val="21"/>
                <w:u w:val="single"/>
                <w:lang w:val="en-US" w:eastAsia="zh-CN"/>
              </w:rPr>
            </w:pPr>
            <w:r>
              <w:rPr>
                <w:rFonts w:hint="eastAsia" w:ascii="宋体" w:hAnsi="宋体" w:eastAsia="宋体" w:cs="宋体"/>
                <w:sz w:val="21"/>
                <w:szCs w:val="21"/>
                <w:lang w:val="en-US" w:eastAsia="zh-CN"/>
              </w:rPr>
              <w:t>体系认证：</w:t>
            </w:r>
            <w:r>
              <w:rPr>
                <w:rFonts w:hint="eastAsia" w:ascii="宋体" w:hAnsi="宋体" w:eastAsia="宋体" w:cs="宋体"/>
                <w:sz w:val="21"/>
                <w:szCs w:val="21"/>
                <w:u w:val="single"/>
                <w:lang w:val="en-US" w:eastAsia="zh-CN"/>
              </w:rPr>
              <w:t xml:space="preserve">   4  </w:t>
            </w:r>
            <w:r>
              <w:rPr>
                <w:rFonts w:hint="eastAsia" w:ascii="宋体" w:hAnsi="宋体" w:eastAsia="宋体" w:cs="宋体"/>
                <w:sz w:val="21"/>
                <w:szCs w:val="21"/>
                <w:u w:val="none"/>
                <w:lang w:val="en-US" w:eastAsia="zh-CN"/>
              </w:rPr>
              <w:t>分</w:t>
            </w:r>
          </w:p>
          <w:p>
            <w:pPr>
              <w:pStyle w:val="2"/>
              <w:rPr>
                <w:rFonts w:hint="default" w:ascii="宋体" w:hAnsi="宋体" w:eastAsia="宋体" w:cs="宋体"/>
                <w:sz w:val="21"/>
                <w:szCs w:val="21"/>
                <w:u w:val="single"/>
                <w:lang w:val="en-US" w:eastAsia="zh-CN"/>
              </w:rPr>
            </w:pPr>
            <w:r>
              <w:rPr>
                <w:rFonts w:hint="eastAsia" w:ascii="宋体" w:hAnsi="宋体" w:eastAsia="宋体" w:cs="宋体"/>
                <w:sz w:val="21"/>
                <w:szCs w:val="21"/>
                <w:lang w:val="en-US" w:eastAsia="zh-CN"/>
              </w:rPr>
              <w:t>企业荣誉：</w:t>
            </w:r>
            <w:r>
              <w:rPr>
                <w:rFonts w:hint="eastAsia" w:ascii="宋体" w:hAnsi="宋体" w:eastAsia="宋体" w:cs="宋体"/>
                <w:sz w:val="21"/>
                <w:szCs w:val="21"/>
                <w:u w:val="single"/>
                <w:lang w:val="en-US" w:eastAsia="zh-CN"/>
              </w:rPr>
              <w:t xml:space="preserve">   4  </w:t>
            </w:r>
            <w:r>
              <w:rPr>
                <w:rFonts w:hint="eastAsia" w:ascii="宋体" w:hAnsi="宋体" w:eastAsia="宋体" w:cs="宋体"/>
                <w:sz w:val="21"/>
                <w:szCs w:val="21"/>
                <w:u w:val="none"/>
                <w:lang w:val="en-US" w:eastAsia="zh-CN"/>
              </w:rPr>
              <w:t>分</w:t>
            </w:r>
          </w:p>
          <w:p>
            <w:pPr>
              <w:pStyle w:val="2"/>
              <w:rPr>
                <w:rFonts w:hint="default" w:ascii="宋体" w:hAnsi="宋体" w:eastAsia="宋体" w:cs="宋体"/>
                <w:sz w:val="21"/>
                <w:szCs w:val="21"/>
                <w:u w:val="single"/>
                <w:lang w:val="en-US" w:eastAsia="zh-CN"/>
              </w:rPr>
            </w:pPr>
            <w:r>
              <w:rPr>
                <w:rFonts w:hint="eastAsia" w:ascii="宋体" w:hAnsi="宋体" w:eastAsia="宋体" w:cs="宋体"/>
                <w:sz w:val="21"/>
                <w:szCs w:val="21"/>
                <w:lang w:val="en-US" w:eastAsia="zh-CN"/>
              </w:rPr>
              <w:t>产品责任险：</w:t>
            </w:r>
            <w:r>
              <w:rPr>
                <w:rFonts w:hint="eastAsia" w:ascii="宋体" w:hAnsi="宋体" w:eastAsia="宋体" w:cs="宋体"/>
                <w:sz w:val="21"/>
                <w:szCs w:val="21"/>
                <w:u w:val="single"/>
                <w:lang w:val="en-US" w:eastAsia="zh-CN"/>
              </w:rPr>
              <w:t xml:space="preserve"> 6  </w:t>
            </w:r>
            <w:r>
              <w:rPr>
                <w:rFonts w:hint="eastAsia" w:ascii="宋体" w:hAnsi="宋体" w:eastAsia="宋体" w:cs="宋体"/>
                <w:sz w:val="21"/>
                <w:szCs w:val="21"/>
                <w:u w:val="none"/>
                <w:lang w:val="en-US" w:eastAsia="zh-CN"/>
              </w:rPr>
              <w:t>分</w:t>
            </w:r>
          </w:p>
          <w:p>
            <w:pPr>
              <w:pStyle w:val="2"/>
              <w:rPr>
                <w:rFonts w:hint="default" w:ascii="宋体" w:hAnsi="宋体" w:eastAsia="宋体" w:cs="宋体"/>
                <w:sz w:val="21"/>
                <w:szCs w:val="21"/>
                <w:u w:val="single"/>
                <w:lang w:val="en-US" w:eastAsia="zh-CN"/>
              </w:rPr>
            </w:pPr>
            <w:r>
              <w:rPr>
                <w:rFonts w:ascii="宋体" w:hAnsi="宋体" w:cs="宋体"/>
                <w:szCs w:val="24"/>
              </w:rPr>
              <w:t>产品参数</w:t>
            </w:r>
            <w:r>
              <w:rPr>
                <w:rFonts w:hint="eastAsia" w:ascii="宋体" w:hAnsi="宋体" w:cs="宋体"/>
                <w:szCs w:val="24"/>
                <w:lang w:eastAsia="zh-CN"/>
              </w:rPr>
              <w:t>：</w:t>
            </w:r>
            <w:r>
              <w:rPr>
                <w:rFonts w:hint="eastAsia" w:ascii="宋体" w:hAnsi="宋体" w:cs="宋体"/>
                <w:szCs w:val="24"/>
                <w:u w:val="single"/>
                <w:lang w:val="en-US" w:eastAsia="zh-CN"/>
              </w:rPr>
              <w:t xml:space="preserve"> </w:t>
            </w:r>
            <w:r>
              <w:rPr>
                <w:rFonts w:hint="eastAsia" w:ascii="宋体" w:hAnsi="宋体" w:eastAsia="宋体" w:cs="宋体"/>
                <w:sz w:val="21"/>
                <w:szCs w:val="21"/>
                <w:u w:val="single"/>
                <w:lang w:val="en-US" w:eastAsia="zh-CN"/>
              </w:rPr>
              <w:t xml:space="preserve">  6  </w:t>
            </w:r>
            <w:r>
              <w:rPr>
                <w:rFonts w:hint="eastAsia" w:ascii="宋体" w:hAnsi="宋体" w:eastAsia="宋体" w:cs="宋体"/>
                <w:sz w:val="21"/>
                <w:szCs w:val="21"/>
                <w:u w:val="none"/>
                <w:lang w:val="en-US" w:eastAsia="zh-CN"/>
              </w:rPr>
              <w:t>分</w:t>
            </w:r>
          </w:p>
          <w:p>
            <w:pPr>
              <w:adjustRightInd w:val="0"/>
              <w:spacing w:line="276" w:lineRule="auto"/>
              <w:rPr>
                <w:rFonts w:hint="eastAsia" w:ascii="宋体" w:hAnsi="宋体" w:eastAsia="宋体" w:cs="宋体"/>
                <w:sz w:val="21"/>
                <w:szCs w:val="21"/>
              </w:rPr>
            </w:pPr>
            <w:r>
              <w:rPr>
                <w:rFonts w:hint="eastAsia" w:ascii="宋体" w:hAnsi="宋体" w:eastAsia="宋体" w:cs="宋体"/>
                <w:sz w:val="21"/>
                <w:szCs w:val="21"/>
              </w:rPr>
              <w:t>供货方案：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10</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adjustRightInd w:val="0"/>
              <w:spacing w:line="276" w:lineRule="auto"/>
              <w:rPr>
                <w:rFonts w:hint="eastAsia" w:ascii="宋体" w:hAnsi="宋体" w:eastAsia="宋体" w:cs="宋体"/>
                <w:b/>
                <w:bCs/>
                <w:sz w:val="21"/>
                <w:szCs w:val="21"/>
              </w:rPr>
            </w:pPr>
            <w:r>
              <w:rPr>
                <w:rFonts w:hint="eastAsia" w:ascii="宋体" w:hAnsi="宋体" w:eastAsia="宋体" w:cs="宋体"/>
                <w:b/>
                <w:bCs/>
                <w:sz w:val="21"/>
                <w:szCs w:val="21"/>
              </w:rPr>
              <w:t>报价文件评分分值构成：</w:t>
            </w:r>
            <w:r>
              <w:rPr>
                <w:rFonts w:hint="eastAsia" w:ascii="宋体" w:hAnsi="宋体" w:eastAsia="宋体" w:cs="宋体"/>
                <w:b/>
                <w:bCs/>
                <w:sz w:val="21"/>
                <w:szCs w:val="21"/>
                <w:u w:val="single"/>
                <w:lang w:val="en-US" w:eastAsia="zh-CN"/>
              </w:rPr>
              <w:t xml:space="preserve">  60  </w:t>
            </w:r>
            <w:r>
              <w:rPr>
                <w:rFonts w:hint="eastAsia" w:ascii="宋体" w:hAnsi="宋体" w:eastAsia="宋体" w:cs="宋体"/>
                <w:b/>
                <w:bCs/>
                <w:sz w:val="21"/>
                <w:szCs w:val="21"/>
              </w:rPr>
              <w:t>分</w:t>
            </w:r>
          </w:p>
          <w:p>
            <w:pPr>
              <w:adjustRightInd w:val="0"/>
              <w:spacing w:line="276" w:lineRule="auto"/>
              <w:jc w:val="both"/>
              <w:rPr>
                <w:rFonts w:hint="eastAsia" w:ascii="宋体" w:hAnsi="宋体" w:eastAsia="宋体" w:cs="宋体"/>
                <w:sz w:val="21"/>
                <w:szCs w:val="21"/>
                <w:lang w:val="en-US" w:eastAsia="zh-CN"/>
              </w:rPr>
            </w:pPr>
            <w:r>
              <w:rPr>
                <w:rFonts w:hint="eastAsia" w:ascii="宋体" w:hAnsi="宋体" w:eastAsia="宋体" w:cs="宋体"/>
                <w:sz w:val="21"/>
                <w:szCs w:val="21"/>
              </w:rPr>
              <w:t>评标价：</w:t>
            </w:r>
            <w:r>
              <w:rPr>
                <w:rFonts w:hint="eastAsia" w:ascii="宋体" w:hAnsi="宋体" w:eastAsia="宋体" w:cs="宋体"/>
                <w:sz w:val="21"/>
                <w:szCs w:val="21"/>
                <w:u w:val="single"/>
                <w:lang w:val="en-US" w:eastAsia="zh-CN"/>
              </w:rPr>
              <w:t xml:space="preserve"> 60 </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1" w:hRule="atLeast"/>
        </w:trPr>
        <w:tc>
          <w:tcPr>
            <w:tcW w:w="926" w:type="dxa"/>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2.2.2</w:t>
            </w:r>
          </w:p>
        </w:tc>
        <w:tc>
          <w:tcPr>
            <w:tcW w:w="186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评标基准价计算方法</w:t>
            </w:r>
          </w:p>
        </w:tc>
        <w:tc>
          <w:tcPr>
            <w:tcW w:w="6393"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）评标价的确定：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评标价＝投标函文字报价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）评标价平均值 </w:t>
            </w:r>
            <w:r>
              <w:rPr>
                <w:rFonts w:hint="default" w:ascii="Times New Roman" w:hAnsi="Times New Roman" w:eastAsia="宋体" w:cs="Times New Roman"/>
                <w:color w:val="000000"/>
                <w:kern w:val="0"/>
                <w:sz w:val="21"/>
                <w:szCs w:val="21"/>
                <w:lang w:val="en-US" w:eastAsia="zh-CN" w:bidi="ar"/>
              </w:rPr>
              <w:t xml:space="preserve">Bi </w:t>
            </w:r>
            <w:r>
              <w:rPr>
                <w:rFonts w:hint="eastAsia" w:ascii="宋体" w:hAnsi="宋体" w:eastAsia="宋体" w:cs="宋体"/>
                <w:color w:val="000000"/>
                <w:kern w:val="0"/>
                <w:sz w:val="21"/>
                <w:szCs w:val="21"/>
                <w:lang w:val="en-US" w:eastAsia="zh-CN" w:bidi="ar"/>
              </w:rPr>
              <w:t xml:space="preserve">的计算：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除按第二章“供应商须知”项和</w:t>
            </w:r>
            <w:r>
              <w:rPr>
                <w:rFonts w:hint="default" w:ascii="宋体" w:hAnsi="宋体" w:eastAsia="宋体" w:cs="宋体"/>
                <w:color w:val="000000"/>
                <w:kern w:val="0"/>
                <w:sz w:val="21"/>
                <w:szCs w:val="21"/>
                <w:lang w:val="en-US" w:eastAsia="zh-CN" w:bidi="ar"/>
              </w:rPr>
              <w:t>评审办法前附表</w:t>
            </w:r>
            <w:r>
              <w:rPr>
                <w:rFonts w:hint="eastAsia" w:ascii="宋体" w:hAnsi="宋体" w:eastAsia="宋体" w:cs="宋体"/>
                <w:color w:val="000000"/>
                <w:kern w:val="0"/>
                <w:sz w:val="21"/>
                <w:szCs w:val="21"/>
                <w:lang w:val="en-US" w:eastAsia="zh-CN" w:bidi="ar"/>
              </w:rPr>
              <w:t>规定开标现场被宣布为不进入评标基准价计算的投标报价之外，取投标人第一个信封（商务及技术文件）评审得分前</w:t>
            </w: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 xml:space="preserve">名的评标价分别去除最高值（由高到低）和最低值（由低到高），剩余投标人评标价的算术平均值为评标价平均值 </w:t>
            </w:r>
            <w:r>
              <w:rPr>
                <w:rFonts w:hint="default" w:ascii="Times New Roman" w:hAnsi="Times New Roman" w:eastAsia="宋体" w:cs="Times New Roman"/>
                <w:color w:val="000000"/>
                <w:kern w:val="0"/>
                <w:sz w:val="21"/>
                <w:szCs w:val="21"/>
                <w:lang w:val="en-US" w:eastAsia="zh-CN" w:bidi="ar"/>
              </w:rPr>
              <w:t>Bi</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highlight w:val="none"/>
                <w:lang w:val="en-US" w:eastAsia="zh-CN" w:bidi="ar"/>
              </w:rPr>
              <w:t xml:space="preserve">如果 </w:t>
            </w:r>
            <w:r>
              <w:rPr>
                <w:rFonts w:hint="default" w:ascii="Times New Roman" w:hAnsi="Times New Roman" w:eastAsia="宋体" w:cs="Times New Roman"/>
                <w:color w:val="000000"/>
                <w:kern w:val="0"/>
                <w:sz w:val="21"/>
                <w:szCs w:val="21"/>
                <w:highlight w:val="none"/>
                <w:lang w:val="en-US" w:eastAsia="zh-CN" w:bidi="ar"/>
              </w:rPr>
              <w:t>N</w:t>
            </w: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 xml:space="preserve">5 </w:t>
            </w:r>
            <w:r>
              <w:rPr>
                <w:rFonts w:hint="eastAsia" w:ascii="宋体" w:hAnsi="宋体" w:eastAsia="宋体" w:cs="宋体"/>
                <w:color w:val="000000"/>
                <w:kern w:val="0"/>
                <w:sz w:val="21"/>
                <w:szCs w:val="21"/>
                <w:lang w:val="en-US" w:eastAsia="zh-CN" w:bidi="ar"/>
              </w:rPr>
              <w:t>时，则计算评标价平均值时不去掉最高值和最低值）。</w:t>
            </w:r>
            <w:r>
              <w:rPr>
                <w:rFonts w:hint="default" w:ascii="Times New Roman" w:hAnsi="Times New Roman" w:eastAsia="宋体" w:cs="Times New Roman"/>
                <w:color w:val="000000"/>
                <w:kern w:val="0"/>
                <w:sz w:val="21"/>
                <w:szCs w:val="21"/>
                <w:lang w:val="en-US" w:eastAsia="zh-CN" w:bidi="ar"/>
              </w:rPr>
              <w:t xml:space="preserve">N </w:t>
            </w:r>
            <w:r>
              <w:rPr>
                <w:rFonts w:hint="eastAsia" w:ascii="宋体" w:hAnsi="宋体" w:eastAsia="宋体" w:cs="宋体"/>
                <w:color w:val="000000"/>
                <w:kern w:val="0"/>
                <w:sz w:val="21"/>
                <w:szCs w:val="21"/>
                <w:lang w:val="en-US" w:eastAsia="zh-CN" w:bidi="ar"/>
              </w:rPr>
              <w:t xml:space="preserve">值取值范围详见下表：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lang w:val="en-US" w:eastAsia="zh-CN"/>
              </w:rPr>
              <w:t xml:space="preserve">     </w:t>
            </w:r>
            <w:r>
              <w:drawing>
                <wp:inline distT="0" distB="0" distL="114300" distR="114300">
                  <wp:extent cx="3771900" cy="17430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3771900" cy="1743075"/>
                          </a:xfrm>
                          <a:prstGeom prst="rect">
                            <a:avLst/>
                          </a:prstGeom>
                          <a:noFill/>
                          <a:ln>
                            <a:noFill/>
                          </a:ln>
                        </pic:spPr>
                      </pic:pic>
                    </a:graphicData>
                  </a:graphic>
                </wp:inline>
              </w:drawing>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说明：</w:t>
            </w:r>
            <w:r>
              <w:rPr>
                <w:rFonts w:hint="default" w:ascii="Times New Roman" w:hAnsi="Times New Roman" w:eastAsia="宋体" w:cs="Times New Roman"/>
                <w:color w:val="000000"/>
                <w:kern w:val="0"/>
                <w:sz w:val="21"/>
                <w:szCs w:val="21"/>
                <w:lang w:val="en-US" w:eastAsia="zh-CN" w:bidi="ar"/>
              </w:rPr>
              <w:t xml:space="preserve">N </w:t>
            </w:r>
            <w:r>
              <w:rPr>
                <w:rFonts w:hint="eastAsia" w:ascii="宋体" w:hAnsi="宋体" w:eastAsia="宋体" w:cs="宋体"/>
                <w:color w:val="000000"/>
                <w:kern w:val="0"/>
                <w:sz w:val="21"/>
                <w:szCs w:val="21"/>
                <w:lang w:val="en-US" w:eastAsia="zh-CN" w:bidi="ar"/>
              </w:rPr>
              <w:t xml:space="preserve">去小数位取整数，不四舍五入。如出现 </w:t>
            </w:r>
            <w:r>
              <w:rPr>
                <w:rFonts w:hint="default" w:ascii="Times New Roman" w:hAnsi="Times New Roman" w:eastAsia="宋体" w:cs="Times New Roman"/>
                <w:color w:val="000000"/>
                <w:kern w:val="0"/>
                <w:sz w:val="21"/>
                <w:szCs w:val="21"/>
                <w:lang w:val="en-US" w:eastAsia="zh-CN" w:bidi="ar"/>
              </w:rPr>
              <w:t xml:space="preserve">A </w:t>
            </w:r>
            <w:r>
              <w:rPr>
                <w:rFonts w:hint="eastAsia" w:ascii="宋体" w:hAnsi="宋体" w:eastAsia="宋体" w:cs="宋体"/>
                <w:color w:val="000000"/>
                <w:kern w:val="0"/>
                <w:sz w:val="21"/>
                <w:szCs w:val="21"/>
                <w:lang w:val="en-US" w:eastAsia="zh-CN" w:bidi="ar"/>
              </w:rPr>
              <w:t xml:space="preserve">家投标人商务技术文件得分相同的情况，其名次并列为第 </w:t>
            </w:r>
            <w:r>
              <w:rPr>
                <w:rFonts w:hint="default" w:ascii="Times New Roman" w:hAnsi="Times New Roman" w:eastAsia="宋体" w:cs="Times New Roman"/>
                <w:color w:val="000000"/>
                <w:kern w:val="0"/>
                <w:sz w:val="21"/>
                <w:szCs w:val="21"/>
                <w:lang w:val="en-US" w:eastAsia="zh-CN" w:bidi="ar"/>
              </w:rPr>
              <w:t xml:space="preserve">B </w:t>
            </w:r>
            <w:r>
              <w:rPr>
                <w:rFonts w:hint="eastAsia" w:ascii="宋体" w:hAnsi="宋体" w:eastAsia="宋体" w:cs="宋体"/>
                <w:color w:val="000000"/>
                <w:kern w:val="0"/>
                <w:sz w:val="21"/>
                <w:szCs w:val="21"/>
                <w:lang w:val="en-US" w:eastAsia="zh-CN" w:bidi="ar"/>
              </w:rPr>
              <w:t xml:space="preserve">名，则排名在 </w:t>
            </w:r>
            <w:r>
              <w:rPr>
                <w:rFonts w:hint="default" w:ascii="Times New Roman" w:hAnsi="Times New Roman" w:eastAsia="宋体" w:cs="Times New Roman"/>
                <w:color w:val="000000"/>
                <w:kern w:val="0"/>
                <w:sz w:val="21"/>
                <w:szCs w:val="21"/>
                <w:lang w:val="en-US" w:eastAsia="zh-CN" w:bidi="ar"/>
              </w:rPr>
              <w:t xml:space="preserve">A </w:t>
            </w:r>
            <w:r>
              <w:rPr>
                <w:rFonts w:hint="eastAsia" w:ascii="宋体" w:hAnsi="宋体" w:eastAsia="宋体" w:cs="宋体"/>
                <w:color w:val="000000"/>
                <w:kern w:val="0"/>
                <w:sz w:val="21"/>
                <w:szCs w:val="21"/>
                <w:lang w:val="en-US" w:eastAsia="zh-CN" w:bidi="ar"/>
              </w:rPr>
              <w:t xml:space="preserve">家投标人之后的投标人的名次从第 </w:t>
            </w:r>
            <w:r>
              <w:rPr>
                <w:rFonts w:hint="default" w:ascii="Times New Roman" w:hAnsi="Times New Roman" w:eastAsia="宋体" w:cs="Times New Roman"/>
                <w:color w:val="000000"/>
                <w:kern w:val="0"/>
                <w:sz w:val="21"/>
                <w:szCs w:val="21"/>
                <w:lang w:val="en-US" w:eastAsia="zh-CN" w:bidi="ar"/>
              </w:rPr>
              <w:t xml:space="preserve">B+A </w:t>
            </w:r>
            <w:r>
              <w:rPr>
                <w:rFonts w:hint="eastAsia" w:ascii="宋体" w:hAnsi="宋体" w:eastAsia="宋体" w:cs="宋体"/>
                <w:color w:val="000000"/>
                <w:kern w:val="0"/>
                <w:sz w:val="21"/>
                <w:szCs w:val="21"/>
                <w:lang w:val="en-US" w:eastAsia="zh-CN" w:bidi="ar"/>
              </w:rPr>
              <w:t xml:space="preserve">名开始依次计列。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）评标基准价的确定：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评标价的算术平均值 </w:t>
            </w:r>
            <w:r>
              <w:rPr>
                <w:rFonts w:hint="default" w:ascii="宋体" w:hAnsi="宋体" w:eastAsia="宋体" w:cs="宋体"/>
                <w:color w:val="000000"/>
                <w:kern w:val="0"/>
                <w:sz w:val="21"/>
                <w:szCs w:val="21"/>
                <w:lang w:val="en-US" w:eastAsia="zh-CN" w:bidi="ar"/>
              </w:rPr>
              <w:t xml:space="preserve">Bi </w:t>
            </w:r>
            <w:r>
              <w:rPr>
                <w:rFonts w:hint="eastAsia" w:ascii="宋体" w:hAnsi="宋体" w:eastAsia="宋体" w:cs="宋体"/>
                <w:color w:val="000000"/>
                <w:kern w:val="0"/>
                <w:sz w:val="21"/>
                <w:szCs w:val="21"/>
                <w:lang w:val="en-US" w:eastAsia="zh-CN" w:bidi="ar"/>
              </w:rPr>
              <w:t>值即为评标基准价。</w:t>
            </w:r>
          </w:p>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 xml:space="preserve">在评标过程中，评标委员会应对招标人计算的评标基准价进行复核，存在计算错误的应予以修正并在评标报告中作出说明。除此之外，评标基准价在整个评标期间保持不变，不随任何因素发生变化。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26" w:type="dxa"/>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2.2.3</w:t>
            </w:r>
          </w:p>
        </w:tc>
        <w:tc>
          <w:tcPr>
            <w:tcW w:w="186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评标价的偏差率计算公式</w:t>
            </w:r>
          </w:p>
        </w:tc>
        <w:tc>
          <w:tcPr>
            <w:tcW w:w="6393" w:type="dxa"/>
            <w:vAlign w:val="center"/>
          </w:tcPr>
          <w:p>
            <w:pPr>
              <w:spacing w:line="288" w:lineRule="auto"/>
              <w:rPr>
                <w:rFonts w:hint="eastAsia" w:ascii="宋体" w:hAnsi="宋体" w:eastAsia="宋体" w:cs="宋体"/>
                <w:sz w:val="21"/>
                <w:szCs w:val="21"/>
              </w:rPr>
            </w:pPr>
            <w:r>
              <w:rPr>
                <w:rFonts w:hint="eastAsia" w:ascii="宋体" w:hAnsi="宋体" w:eastAsia="宋体" w:cs="宋体"/>
                <w:sz w:val="21"/>
                <w:szCs w:val="21"/>
              </w:rPr>
              <w:t>偏差率=100% ×（投标人报价－评标基准价）/评标基准价</w:t>
            </w:r>
          </w:p>
          <w:p>
            <w:pPr>
              <w:adjustRightInd w:val="0"/>
              <w:spacing w:line="276" w:lineRule="auto"/>
              <w:jc w:val="both"/>
              <w:rPr>
                <w:rFonts w:hint="eastAsia" w:ascii="宋体" w:hAnsi="宋体" w:eastAsia="宋体" w:cs="宋体"/>
                <w:sz w:val="21"/>
                <w:szCs w:val="21"/>
              </w:rPr>
            </w:pPr>
            <w:r>
              <w:rPr>
                <w:rFonts w:hint="eastAsia" w:ascii="宋体" w:hAnsi="宋体" w:eastAsia="宋体" w:cs="宋体"/>
                <w:sz w:val="21"/>
                <w:szCs w:val="21"/>
              </w:rPr>
              <w:t>（%保留2位小数）</w:t>
            </w:r>
          </w:p>
        </w:tc>
      </w:tr>
    </w:tbl>
    <w:tbl>
      <w:tblPr>
        <w:tblStyle w:val="20"/>
        <w:tblpPr w:leftFromText="180" w:rightFromText="180" w:vertAnchor="text" w:horzAnchor="page" w:tblpX="1763" w:tblpY="284"/>
        <w:tblOverlap w:val="never"/>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12"/>
        <w:gridCol w:w="899"/>
        <w:gridCol w:w="1650"/>
        <w:gridCol w:w="5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blHeader/>
        </w:trPr>
        <w:tc>
          <w:tcPr>
            <w:tcW w:w="987" w:type="pct"/>
            <w:gridSpan w:val="2"/>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条款号</w:t>
            </w:r>
          </w:p>
        </w:tc>
        <w:tc>
          <w:tcPr>
            <w:tcW w:w="899" w:type="pct"/>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分值构成</w:t>
            </w:r>
          </w:p>
        </w:tc>
        <w:tc>
          <w:tcPr>
            <w:tcW w:w="3113" w:type="pct"/>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trPr>
        <w:tc>
          <w:tcPr>
            <w:tcW w:w="497" w:type="pct"/>
            <w:vMerge w:val="restart"/>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2.2.4</w:t>
            </w:r>
          </w:p>
          <w:p>
            <w:pPr>
              <w:pStyle w:val="2"/>
              <w:adjustRightInd w:val="0"/>
              <w:snapToGrid w:val="0"/>
              <w:rPr>
                <w:rFonts w:hint="eastAsia" w:ascii="宋体" w:hAnsi="宋体" w:eastAsia="宋体" w:cs="宋体"/>
                <w:sz w:val="21"/>
                <w:szCs w:val="21"/>
                <w:highlight w:val="none"/>
              </w:rPr>
            </w:pPr>
          </w:p>
        </w:tc>
        <w:tc>
          <w:tcPr>
            <w:tcW w:w="490" w:type="pct"/>
            <w:vMerge w:val="restart"/>
            <w:vAlign w:val="center"/>
          </w:tcPr>
          <w:p>
            <w:pPr>
              <w:pStyle w:val="2"/>
              <w:adjustRightInd w:val="0"/>
              <w:snapToGrid w:val="0"/>
              <w:ind w:left="210" w:hanging="210" w:hanging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商务技术  文件</w:t>
            </w:r>
          </w:p>
        </w:tc>
        <w:tc>
          <w:tcPr>
            <w:tcW w:w="899"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企业业绩</w:t>
            </w:r>
          </w:p>
          <w:p>
            <w:pPr>
              <w:pStyle w:val="2"/>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10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13" w:type="pct"/>
            <w:vAlign w:val="center"/>
          </w:tcPr>
          <w:p>
            <w:pPr>
              <w:pStyle w:val="2"/>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满足资格审查条件业绩最低要求得</w:t>
            </w:r>
            <w:r>
              <w:rPr>
                <w:rFonts w:hint="eastAsia" w:ascii="宋体" w:hAnsi="宋体" w:eastAsia="宋体" w:cs="宋体"/>
                <w:sz w:val="21"/>
                <w:szCs w:val="21"/>
                <w:highlight w:val="none"/>
                <w:u w:val="single"/>
                <w:lang w:val="en-US" w:eastAsia="zh-CN"/>
              </w:rPr>
              <w:t xml:space="preserve">  6  </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在此基础上，</w:t>
            </w:r>
            <w:r>
              <w:rPr>
                <w:rFonts w:hint="eastAsia" w:ascii="宋体" w:hAnsi="宋体" w:eastAsia="宋体" w:cs="宋体"/>
                <w:color w:val="auto"/>
                <w:sz w:val="21"/>
                <w:szCs w:val="21"/>
                <w:highlight w:val="none"/>
                <w:lang w:val="en-US" w:eastAsia="zh-CN"/>
              </w:rPr>
              <w:t>每提供一个100万元以上的充电桩供应业绩加</w:t>
            </w:r>
            <w:r>
              <w:rPr>
                <w:rFonts w:hint="eastAsia" w:ascii="宋体" w:hAnsi="宋体" w:eastAsia="宋体" w:cs="宋体"/>
                <w:color w:val="auto"/>
                <w:sz w:val="21"/>
                <w:szCs w:val="21"/>
                <w:highlight w:val="none"/>
                <w:u w:val="single"/>
                <w:lang w:val="en-US" w:eastAsia="zh-CN"/>
              </w:rPr>
              <w:t xml:space="preserve">  2 </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trPr>
        <w:tc>
          <w:tcPr>
            <w:tcW w:w="497"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ind w:left="210" w:hanging="210" w:hangingChars="100"/>
              <w:rPr>
                <w:rFonts w:hint="eastAsia" w:ascii="宋体" w:hAnsi="宋体" w:eastAsia="宋体" w:cs="宋体"/>
                <w:sz w:val="21"/>
                <w:szCs w:val="21"/>
                <w:highlight w:val="none"/>
                <w:lang w:val="en-US" w:eastAsia="zh-CN"/>
              </w:rPr>
            </w:pPr>
          </w:p>
        </w:tc>
        <w:tc>
          <w:tcPr>
            <w:tcW w:w="899" w:type="pct"/>
            <w:vAlign w:val="center"/>
          </w:tcPr>
          <w:p>
            <w:pPr>
              <w:ind w:firstLine="440" w:firstLineChars="200"/>
              <w:rPr>
                <w:rFonts w:ascii="宋体" w:hAnsi="宋体" w:cs="宋体"/>
                <w:bCs/>
                <w:snapToGrid w:val="0"/>
                <w:sz w:val="22"/>
              </w:rPr>
            </w:pPr>
            <w:r>
              <w:rPr>
                <w:rFonts w:ascii="宋体" w:hAnsi="宋体" w:cs="宋体"/>
                <w:bCs/>
                <w:snapToGrid w:val="0"/>
                <w:sz w:val="22"/>
              </w:rPr>
              <w:t>体系认证</w:t>
            </w:r>
          </w:p>
          <w:p>
            <w:pPr>
              <w:rPr>
                <w:rFonts w:hint="default"/>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4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13" w:type="pct"/>
            <w:vAlign w:val="center"/>
          </w:tcPr>
          <w:p>
            <w:pPr>
              <w:rPr>
                <w:rFonts w:hint="default"/>
                <w:lang w:val="en-US" w:eastAsia="zh-CN"/>
              </w:rPr>
            </w:pPr>
            <w:r>
              <w:rPr>
                <w:rFonts w:ascii="宋体" w:hAnsi="宋体"/>
                <w:szCs w:val="21"/>
              </w:rPr>
              <w:t>投标人具有有效期内的 ISO9001:2015 质量管理体系认证证书</w:t>
            </w:r>
            <w:r>
              <w:rPr>
                <w:rFonts w:hint="eastAsia" w:ascii="宋体" w:hAnsi="宋体"/>
                <w:szCs w:val="21"/>
                <w:lang w:eastAsia="zh-CN"/>
              </w:rPr>
              <w:t>；</w:t>
            </w:r>
            <w:r>
              <w:rPr>
                <w:rFonts w:ascii="宋体" w:hAnsi="宋体"/>
                <w:szCs w:val="21"/>
              </w:rPr>
              <w:t>ISO14001:2015 环境管理体系认证证书</w:t>
            </w:r>
            <w:r>
              <w:rPr>
                <w:rFonts w:hint="eastAsia" w:ascii="宋体" w:hAnsi="宋体"/>
                <w:szCs w:val="21"/>
                <w:lang w:eastAsia="zh-CN"/>
              </w:rPr>
              <w:t>；</w:t>
            </w:r>
            <w:r>
              <w:rPr>
                <w:rFonts w:ascii="宋体" w:hAnsi="宋体"/>
                <w:szCs w:val="21"/>
              </w:rPr>
              <w:t>ISO45001:2018 职业健康安全管理体系认证证书</w:t>
            </w:r>
            <w:r>
              <w:rPr>
                <w:rFonts w:hint="eastAsia" w:ascii="宋体" w:hAnsi="宋体"/>
                <w:szCs w:val="21"/>
                <w:lang w:eastAsia="zh-CN"/>
              </w:rPr>
              <w:t>；</w:t>
            </w:r>
            <w:r>
              <w:rPr>
                <w:rFonts w:ascii="宋体" w:hAnsi="宋体"/>
                <w:szCs w:val="21"/>
              </w:rPr>
              <w:t xml:space="preserve">GB/T29490-2013 知识产权管理体系认证证书的得 </w:t>
            </w:r>
            <w:r>
              <w:rPr>
                <w:rFonts w:hint="eastAsia" w:ascii="宋体" w:hAnsi="宋体"/>
                <w:szCs w:val="21"/>
                <w:lang w:val="en-US" w:eastAsia="zh-CN"/>
              </w:rPr>
              <w:t>4</w:t>
            </w:r>
            <w:r>
              <w:rPr>
                <w:rFonts w:ascii="宋体" w:hAnsi="宋体"/>
                <w:szCs w:val="21"/>
              </w:rPr>
              <w:t xml:space="preserve"> 分,每缺少一项扣</w:t>
            </w:r>
            <w:r>
              <w:rPr>
                <w:rFonts w:hint="eastAsia" w:ascii="宋体" w:hAnsi="宋体"/>
                <w:szCs w:val="21"/>
                <w:lang w:val="en-US" w:eastAsia="zh-CN"/>
              </w:rPr>
              <w:t>1</w:t>
            </w:r>
            <w:r>
              <w:rPr>
                <w:rFonts w:ascii="宋体" w:hAnsi="宋体"/>
                <w:szCs w:val="21"/>
              </w:rPr>
              <w:t>分， 扣完为止，认证范围须包含汽车充电设备（须提供证书扫描件，否则不得分。）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trPr>
        <w:tc>
          <w:tcPr>
            <w:tcW w:w="497"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ind w:left="210" w:hanging="210" w:hangingChars="100"/>
              <w:rPr>
                <w:rFonts w:hint="eastAsia" w:ascii="宋体" w:hAnsi="宋体" w:eastAsia="宋体" w:cs="宋体"/>
                <w:sz w:val="21"/>
                <w:szCs w:val="21"/>
                <w:highlight w:val="none"/>
                <w:lang w:val="en-US" w:eastAsia="zh-CN"/>
              </w:rPr>
            </w:pPr>
          </w:p>
        </w:tc>
        <w:tc>
          <w:tcPr>
            <w:tcW w:w="899" w:type="pct"/>
            <w:vAlign w:val="center"/>
          </w:tcPr>
          <w:p>
            <w:pPr>
              <w:ind w:firstLine="440" w:firstLineChars="200"/>
              <w:rPr>
                <w:rFonts w:hint="eastAsia" w:ascii="宋体" w:hAnsi="宋体" w:cs="宋体" w:eastAsiaTheme="minorEastAsia"/>
                <w:bCs/>
                <w:snapToGrid w:val="0"/>
                <w:sz w:val="22"/>
                <w:lang w:eastAsia="zh-CN"/>
              </w:rPr>
            </w:pPr>
            <w:r>
              <w:rPr>
                <w:rFonts w:hint="eastAsia" w:ascii="宋体" w:hAnsi="宋体" w:cs="宋体"/>
                <w:bCs/>
                <w:snapToGrid w:val="0"/>
                <w:sz w:val="22"/>
                <w:lang w:val="en-US" w:eastAsia="zh-CN"/>
              </w:rPr>
              <w:t>企业荣誉</w:t>
            </w:r>
          </w:p>
          <w:p>
            <w:pPr>
              <w:rPr>
                <w:rFonts w:hint="eastAsia" w:ascii="宋体" w:hAnsi="宋体" w:cs="宋体" w:eastAsiaTheme="minorEastAsia"/>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4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13" w:type="pct"/>
            <w:vAlign w:val="center"/>
          </w:tcPr>
          <w:p>
            <w:pPr>
              <w:rPr>
                <w:rFonts w:hint="default" w:ascii="宋体" w:hAnsi="宋体" w:eastAsiaTheme="minorEastAsia"/>
                <w:szCs w:val="21"/>
                <w:lang w:val="en-US" w:eastAsia="zh-CN"/>
              </w:rPr>
            </w:pPr>
            <w:r>
              <w:rPr>
                <w:rFonts w:ascii="宋体" w:hAnsi="宋体" w:cs="宋体"/>
                <w:bCs/>
                <w:snapToGrid w:val="0"/>
                <w:szCs w:val="24"/>
              </w:rPr>
              <w:t>投标人需具备优秀的工业设计能力，投标人具有</w:t>
            </w:r>
            <w:r>
              <w:rPr>
                <w:rFonts w:ascii="宋体" w:hAnsi="宋体" w:cs="宋体"/>
                <w:b w:val="0"/>
                <w:bCs/>
                <w:snapToGrid w:val="0"/>
                <w:color w:val="auto"/>
                <w:szCs w:val="24"/>
              </w:rPr>
              <w:t>“国家级工业设计中心”</w:t>
            </w:r>
            <w:r>
              <w:rPr>
                <w:rFonts w:ascii="宋体" w:hAnsi="宋体" w:cs="宋体"/>
                <w:bCs/>
                <w:snapToGrid w:val="0"/>
                <w:szCs w:val="24"/>
              </w:rPr>
              <w:t>的得</w:t>
            </w:r>
            <w:r>
              <w:rPr>
                <w:rFonts w:hint="eastAsia" w:ascii="宋体" w:hAnsi="宋体" w:cs="宋体"/>
                <w:bCs/>
                <w:snapToGrid w:val="0"/>
                <w:szCs w:val="24"/>
                <w:lang w:val="en-US" w:eastAsia="zh-CN"/>
              </w:rPr>
              <w:t>2</w:t>
            </w:r>
            <w:r>
              <w:rPr>
                <w:rFonts w:ascii="宋体" w:hAnsi="宋体" w:cs="宋体"/>
                <w:bCs/>
                <w:snapToGrid w:val="0"/>
                <w:szCs w:val="24"/>
              </w:rPr>
              <w:t xml:space="preserve"> 分，</w:t>
            </w:r>
            <w:r>
              <w:rPr>
                <w:rFonts w:hint="eastAsia" w:ascii="宋体" w:hAnsi="宋体" w:cs="宋体"/>
                <w:bCs/>
                <w:snapToGrid w:val="0"/>
                <w:szCs w:val="24"/>
                <w:lang w:eastAsia="zh-CN"/>
              </w:rPr>
              <w:t>“</w:t>
            </w:r>
            <w:r>
              <w:rPr>
                <w:rFonts w:hint="eastAsia" w:ascii="宋体" w:hAnsi="宋体" w:cs="宋体"/>
                <w:bCs/>
                <w:snapToGrid w:val="0"/>
                <w:szCs w:val="24"/>
                <w:lang w:val="en-US" w:eastAsia="zh-CN"/>
              </w:rPr>
              <w:t>具有国家级高新技术企业”的得2分，</w:t>
            </w:r>
            <w:r>
              <w:rPr>
                <w:rFonts w:ascii="宋体" w:hAnsi="宋体" w:cs="宋体"/>
                <w:bCs/>
                <w:snapToGrid w:val="0"/>
                <w:szCs w:val="24"/>
              </w:rPr>
              <w:t xml:space="preserve">需提供证书及相关证明文件 </w:t>
            </w:r>
            <w:r>
              <w:rPr>
                <w:rFonts w:hint="eastAsia" w:ascii="宋体" w:hAnsi="宋体" w:cs="宋体"/>
                <w:bCs/>
                <w:snapToGrid w:val="0"/>
                <w:szCs w:val="24"/>
                <w:lang w:eastAsia="zh-CN"/>
              </w:rPr>
              <w:t>。</w:t>
            </w:r>
            <w:r>
              <w:rPr>
                <w:rFonts w:hint="eastAsia" w:ascii="宋体" w:hAnsi="宋体" w:cs="宋体"/>
                <w:bCs/>
                <w:snapToGrid w:val="0"/>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trPr>
        <w:tc>
          <w:tcPr>
            <w:tcW w:w="497"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ind w:left="210" w:hanging="210" w:hangingChars="100"/>
              <w:rPr>
                <w:rFonts w:hint="eastAsia" w:ascii="宋体" w:hAnsi="宋体" w:eastAsia="宋体" w:cs="宋体"/>
                <w:sz w:val="21"/>
                <w:szCs w:val="21"/>
                <w:highlight w:val="none"/>
                <w:lang w:val="en-US" w:eastAsia="zh-CN"/>
              </w:rPr>
            </w:pPr>
          </w:p>
        </w:tc>
        <w:tc>
          <w:tcPr>
            <w:tcW w:w="899" w:type="pct"/>
            <w:vAlign w:val="center"/>
          </w:tcPr>
          <w:p>
            <w:pPr>
              <w:jc w:val="center"/>
              <w:rPr>
                <w:rFonts w:hint="eastAsia" w:ascii="宋体" w:hAnsi="宋体" w:cs="宋体"/>
                <w:bCs/>
                <w:snapToGrid w:val="0"/>
                <w:szCs w:val="24"/>
                <w:lang w:val="en-US" w:eastAsia="zh-CN"/>
              </w:rPr>
            </w:pPr>
            <w:r>
              <w:rPr>
                <w:rFonts w:hint="eastAsia" w:ascii="宋体" w:hAnsi="宋体" w:cs="宋体"/>
                <w:bCs/>
                <w:snapToGrid w:val="0"/>
                <w:szCs w:val="24"/>
                <w:lang w:val="en-US" w:eastAsia="zh-CN"/>
              </w:rPr>
              <w:t>产</w:t>
            </w:r>
            <w:r>
              <w:rPr>
                <w:rFonts w:ascii="宋体" w:hAnsi="宋体" w:cs="宋体"/>
                <w:bCs/>
                <w:snapToGrid w:val="0"/>
                <w:szCs w:val="24"/>
              </w:rPr>
              <w:t>品责任险</w:t>
            </w:r>
          </w:p>
          <w:p>
            <w:pPr>
              <w:rPr>
                <w:rFonts w:hint="eastAsia" w:ascii="宋体" w:hAnsi="宋体" w:eastAsia="宋体" w:cs="宋体"/>
                <w:sz w:val="21"/>
                <w:szCs w:val="21"/>
                <w:highlight w:val="none"/>
                <w:lang w:eastAsia="zh-CN"/>
              </w:rPr>
            </w:pPr>
            <w:r>
              <w:rPr>
                <w:rFonts w:hint="eastAsia" w:ascii="宋体" w:hAnsi="宋体" w:cs="宋体"/>
                <w:bCs/>
                <w:snapToGrid w:val="0"/>
                <w:szCs w:val="24"/>
                <w:lang w:val="en-US" w:eastAsia="zh-CN"/>
              </w:rPr>
              <w:t xml:space="preserve">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6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13" w:type="pct"/>
            <w:vAlign w:val="center"/>
          </w:tcPr>
          <w:p>
            <w:pPr>
              <w:rPr>
                <w:rFonts w:hint="eastAsia" w:ascii="宋体" w:hAnsi="宋体" w:cs="宋体" w:eastAsiaTheme="minorEastAsia"/>
                <w:bCs/>
                <w:snapToGrid w:val="0"/>
                <w:szCs w:val="24"/>
                <w:lang w:eastAsia="zh-CN"/>
              </w:rPr>
            </w:pPr>
            <w:r>
              <w:rPr>
                <w:rFonts w:ascii="宋体" w:hAnsi="宋体" w:cs="宋体"/>
                <w:bCs/>
                <w:snapToGrid w:val="0"/>
                <w:szCs w:val="24"/>
              </w:rPr>
              <w:t>投标人所投充电设备具有产品责任险的，保险范围中华人民共和国（除港澳台外），被保险产品为充电桩，且保额达到</w:t>
            </w:r>
            <w:r>
              <w:rPr>
                <w:rFonts w:hint="eastAsia" w:ascii="宋体" w:hAnsi="宋体" w:cs="宋体"/>
                <w:bCs/>
                <w:snapToGrid w:val="0"/>
                <w:szCs w:val="24"/>
                <w:lang w:val="en-US" w:eastAsia="zh-CN"/>
              </w:rPr>
              <w:t>1000</w:t>
            </w:r>
            <w:r>
              <w:rPr>
                <w:rFonts w:ascii="宋体" w:hAnsi="宋体" w:cs="宋体"/>
                <w:bCs/>
                <w:snapToGrid w:val="0"/>
                <w:szCs w:val="24"/>
              </w:rPr>
              <w:t>万</w:t>
            </w:r>
            <w:r>
              <w:rPr>
                <w:rFonts w:hint="eastAsia" w:ascii="宋体" w:hAnsi="宋体" w:cs="宋体"/>
                <w:bCs/>
                <w:snapToGrid w:val="0"/>
                <w:szCs w:val="24"/>
                <w:lang w:val="en-US" w:eastAsia="zh-CN"/>
              </w:rPr>
              <w:t>人民币</w:t>
            </w:r>
            <w:r>
              <w:rPr>
                <w:rFonts w:ascii="宋体" w:hAnsi="宋体" w:cs="宋体"/>
                <w:bCs/>
                <w:snapToGrid w:val="0"/>
                <w:szCs w:val="24"/>
              </w:rPr>
              <w:t>（包含）及以上的得</w:t>
            </w:r>
            <w:r>
              <w:rPr>
                <w:rFonts w:hint="eastAsia" w:ascii="宋体" w:hAnsi="宋体" w:cs="宋体"/>
                <w:bCs/>
                <w:snapToGrid w:val="0"/>
                <w:szCs w:val="24"/>
                <w:lang w:val="en-US" w:eastAsia="zh-CN"/>
              </w:rPr>
              <w:t>2</w:t>
            </w:r>
            <w:r>
              <w:rPr>
                <w:rFonts w:ascii="宋体" w:hAnsi="宋体" w:cs="宋体"/>
                <w:bCs/>
                <w:snapToGrid w:val="0"/>
                <w:szCs w:val="24"/>
              </w:rPr>
              <w:t>分；保额达到</w:t>
            </w:r>
            <w:r>
              <w:rPr>
                <w:rFonts w:hint="eastAsia" w:ascii="宋体" w:hAnsi="宋体" w:cs="宋体"/>
                <w:bCs/>
                <w:snapToGrid w:val="0"/>
                <w:szCs w:val="24"/>
                <w:lang w:val="en-US" w:eastAsia="zh-CN"/>
              </w:rPr>
              <w:t>20</w:t>
            </w:r>
            <w:r>
              <w:rPr>
                <w:rFonts w:ascii="宋体" w:hAnsi="宋体" w:cs="宋体"/>
                <w:bCs/>
                <w:snapToGrid w:val="0"/>
                <w:szCs w:val="24"/>
              </w:rPr>
              <w:t>00万</w:t>
            </w:r>
            <w:r>
              <w:rPr>
                <w:rFonts w:hint="eastAsia" w:ascii="宋体" w:hAnsi="宋体" w:cs="宋体"/>
                <w:bCs/>
                <w:snapToGrid w:val="0"/>
                <w:szCs w:val="24"/>
                <w:lang w:val="en-US" w:eastAsia="zh-CN"/>
              </w:rPr>
              <w:t>人民币</w:t>
            </w:r>
            <w:r>
              <w:rPr>
                <w:rFonts w:ascii="宋体" w:hAnsi="宋体" w:cs="宋体"/>
                <w:bCs/>
                <w:snapToGrid w:val="0"/>
                <w:szCs w:val="24"/>
              </w:rPr>
              <w:t>（包含）及以上的得</w:t>
            </w:r>
            <w:r>
              <w:rPr>
                <w:rFonts w:hint="eastAsia" w:ascii="宋体" w:hAnsi="宋体" w:cs="宋体"/>
                <w:bCs/>
                <w:snapToGrid w:val="0"/>
                <w:szCs w:val="24"/>
                <w:lang w:val="en-US" w:eastAsia="zh-CN"/>
              </w:rPr>
              <w:t>4</w:t>
            </w:r>
            <w:r>
              <w:rPr>
                <w:rFonts w:ascii="宋体" w:hAnsi="宋体" w:cs="宋体"/>
                <w:bCs/>
                <w:snapToGrid w:val="0"/>
                <w:szCs w:val="24"/>
              </w:rPr>
              <w:t>分；保额达到</w:t>
            </w:r>
            <w:r>
              <w:rPr>
                <w:rFonts w:hint="eastAsia" w:ascii="宋体" w:hAnsi="宋体" w:cs="宋体"/>
                <w:bCs/>
                <w:snapToGrid w:val="0"/>
                <w:szCs w:val="24"/>
                <w:lang w:val="en-US" w:eastAsia="zh-CN"/>
              </w:rPr>
              <w:t>3000</w:t>
            </w:r>
            <w:r>
              <w:rPr>
                <w:rFonts w:ascii="宋体" w:hAnsi="宋体" w:cs="宋体"/>
                <w:bCs/>
                <w:snapToGrid w:val="0"/>
                <w:szCs w:val="24"/>
              </w:rPr>
              <w:t>万</w:t>
            </w:r>
            <w:r>
              <w:rPr>
                <w:rFonts w:hint="eastAsia" w:ascii="宋体" w:hAnsi="宋体" w:cs="宋体"/>
                <w:bCs/>
                <w:snapToGrid w:val="0"/>
                <w:szCs w:val="24"/>
                <w:lang w:val="en-US" w:eastAsia="zh-CN"/>
              </w:rPr>
              <w:t>人民币</w:t>
            </w:r>
            <w:r>
              <w:rPr>
                <w:rFonts w:ascii="宋体" w:hAnsi="宋体" w:cs="宋体"/>
                <w:bCs/>
                <w:snapToGrid w:val="0"/>
                <w:szCs w:val="24"/>
              </w:rPr>
              <w:t>（包含）及以上的得</w:t>
            </w:r>
            <w:r>
              <w:rPr>
                <w:rFonts w:hint="eastAsia" w:ascii="宋体" w:hAnsi="宋体" w:cs="宋体"/>
                <w:bCs/>
                <w:snapToGrid w:val="0"/>
                <w:szCs w:val="24"/>
                <w:lang w:val="en-US" w:eastAsia="zh-CN"/>
              </w:rPr>
              <w:t>6</w:t>
            </w:r>
            <w:r>
              <w:rPr>
                <w:rFonts w:ascii="宋体" w:hAnsi="宋体" w:cs="宋体"/>
                <w:bCs/>
                <w:snapToGrid w:val="0"/>
                <w:szCs w:val="24"/>
              </w:rPr>
              <w:t>分</w:t>
            </w:r>
            <w:r>
              <w:rPr>
                <w:rFonts w:hint="eastAsia" w:ascii="宋体" w:hAnsi="宋体" w:cs="宋体"/>
                <w:bCs/>
                <w:snapToGrid w:val="0"/>
                <w:szCs w:val="24"/>
                <w:lang w:eastAsia="zh-CN"/>
              </w:rPr>
              <w:t>，</w:t>
            </w:r>
            <w:r>
              <w:rPr>
                <w:rFonts w:ascii="宋体" w:hAnsi="宋体" w:cs="宋体"/>
                <w:bCs/>
                <w:snapToGrid w:val="0"/>
                <w:szCs w:val="24"/>
              </w:rPr>
              <w:t>其他不得分</w:t>
            </w:r>
            <w:r>
              <w:rPr>
                <w:rFonts w:hint="eastAsia" w:ascii="宋体" w:hAnsi="宋体" w:cs="宋体"/>
                <w:bCs/>
                <w:snapToGrid w:val="0"/>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7"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rPr>
                <w:rFonts w:hint="eastAsia" w:ascii="宋体" w:hAnsi="宋体" w:eastAsia="宋体" w:cs="宋体"/>
                <w:sz w:val="21"/>
                <w:szCs w:val="21"/>
                <w:highlight w:val="none"/>
              </w:rPr>
            </w:pPr>
          </w:p>
        </w:tc>
        <w:tc>
          <w:tcPr>
            <w:tcW w:w="899" w:type="pct"/>
            <w:vMerge w:val="restart"/>
            <w:vAlign w:val="center"/>
          </w:tcPr>
          <w:p>
            <w:pPr>
              <w:pStyle w:val="2"/>
              <w:adjustRightInd w:val="0"/>
              <w:snapToGrid w:val="0"/>
              <w:jc w:val="center"/>
              <w:rPr>
                <w:rFonts w:ascii="宋体" w:hAnsi="宋体" w:cs="宋体"/>
                <w:szCs w:val="24"/>
              </w:rPr>
            </w:pPr>
            <w:r>
              <w:rPr>
                <w:rFonts w:ascii="宋体" w:hAnsi="宋体" w:cs="宋体"/>
                <w:szCs w:val="24"/>
              </w:rPr>
              <w:t>产品参数</w:t>
            </w:r>
          </w:p>
          <w:p>
            <w:pPr>
              <w:pStyle w:val="2"/>
              <w:adjustRightInd w:val="0"/>
              <w:snapToGrid w:val="0"/>
              <w:jc w:val="center"/>
              <w:rPr>
                <w:rFonts w:hint="eastAsia" w:ascii="宋体" w:hAnsi="宋体" w:cs="宋体" w:eastAsiaTheme="minorEastAsia"/>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6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r>
              <w:rPr>
                <w:rFonts w:hint="eastAsia" w:ascii="宋体" w:hAnsi="宋体" w:cs="宋体"/>
                <w:szCs w:val="24"/>
                <w:lang w:eastAsia="zh-CN"/>
              </w:rPr>
              <w:t>）</w:t>
            </w:r>
          </w:p>
        </w:tc>
        <w:tc>
          <w:tcPr>
            <w:tcW w:w="3113" w:type="pct"/>
            <w:vAlign w:val="center"/>
          </w:tcPr>
          <w:p>
            <w:pPr>
              <w:rPr>
                <w:rFonts w:hint="eastAsia" w:ascii="宋体" w:hAnsi="宋体" w:cs="宋体"/>
                <w:bCs/>
                <w:snapToGrid w:val="0"/>
                <w:szCs w:val="24"/>
                <w:lang w:val="en-US" w:eastAsia="zh-CN"/>
              </w:rPr>
            </w:pPr>
            <w:r>
              <w:rPr>
                <w:rFonts w:hint="eastAsia" w:ascii="宋体" w:hAnsi="宋体" w:cs="宋体"/>
                <w:bCs/>
                <w:snapToGrid w:val="0"/>
                <w:szCs w:val="24"/>
                <w:lang w:val="en-US" w:eastAsia="zh-CN"/>
              </w:rPr>
              <w:t>20%≤输出功率≤100%时，功率因数≥0.99得2分，提供投标120kW直流充电设备检验报告扫描件证明，且检验报告具备CMA、ILAC-MRA、CNAS认证标识。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7"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rPr>
                <w:rFonts w:hint="eastAsia" w:ascii="宋体" w:hAnsi="宋体" w:eastAsia="宋体" w:cs="宋体"/>
                <w:sz w:val="21"/>
                <w:szCs w:val="21"/>
                <w:highlight w:val="none"/>
              </w:rPr>
            </w:pPr>
          </w:p>
        </w:tc>
        <w:tc>
          <w:tcPr>
            <w:tcW w:w="899" w:type="pct"/>
            <w:vMerge w:val="continue"/>
            <w:vAlign w:val="center"/>
          </w:tcPr>
          <w:p>
            <w:pPr>
              <w:pStyle w:val="2"/>
              <w:adjustRightInd w:val="0"/>
              <w:snapToGrid w:val="0"/>
              <w:jc w:val="center"/>
              <w:rPr>
                <w:rFonts w:hint="eastAsia" w:ascii="宋体" w:hAnsi="宋体" w:eastAsia="宋体" w:cs="宋体"/>
                <w:sz w:val="21"/>
                <w:szCs w:val="21"/>
                <w:highlight w:val="none"/>
              </w:rPr>
            </w:pPr>
          </w:p>
        </w:tc>
        <w:tc>
          <w:tcPr>
            <w:tcW w:w="3113" w:type="pct"/>
            <w:vAlign w:val="center"/>
          </w:tcPr>
          <w:p>
            <w:pPr>
              <w:rPr>
                <w:rFonts w:hint="eastAsia" w:ascii="宋体" w:hAnsi="宋体" w:cs="宋体"/>
                <w:bCs/>
                <w:snapToGrid w:val="0"/>
                <w:szCs w:val="24"/>
                <w:lang w:val="en-US" w:eastAsia="zh-CN"/>
              </w:rPr>
            </w:pPr>
            <w:r>
              <w:rPr>
                <w:rFonts w:hint="eastAsia" w:ascii="宋体" w:hAnsi="宋体" w:cs="宋体"/>
                <w:bCs/>
                <w:snapToGrid w:val="0"/>
                <w:szCs w:val="24"/>
                <w:lang w:val="en-US" w:eastAsia="zh-CN"/>
              </w:rPr>
              <w:t>绝缘电阻≥1680MΩ得2分，提供投标120kW直流充电设备检验报告扫描件证明，且检验报告具备CMA、ILAC-MRA、CNAS认证标识。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7"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rPr>
                <w:rFonts w:hint="eastAsia" w:ascii="宋体" w:hAnsi="宋体" w:eastAsia="宋体" w:cs="宋体"/>
                <w:sz w:val="21"/>
                <w:szCs w:val="21"/>
                <w:highlight w:val="none"/>
              </w:rPr>
            </w:pPr>
          </w:p>
        </w:tc>
        <w:tc>
          <w:tcPr>
            <w:tcW w:w="899" w:type="pct"/>
            <w:vMerge w:val="continue"/>
            <w:vAlign w:val="center"/>
          </w:tcPr>
          <w:p>
            <w:pPr>
              <w:pStyle w:val="2"/>
              <w:adjustRightInd w:val="0"/>
              <w:snapToGrid w:val="0"/>
              <w:jc w:val="center"/>
              <w:rPr>
                <w:rFonts w:hint="eastAsia" w:ascii="宋体" w:hAnsi="宋体" w:eastAsia="宋体" w:cs="宋体"/>
                <w:sz w:val="21"/>
                <w:szCs w:val="21"/>
                <w:highlight w:val="none"/>
              </w:rPr>
            </w:pPr>
          </w:p>
        </w:tc>
        <w:tc>
          <w:tcPr>
            <w:tcW w:w="3113" w:type="pct"/>
            <w:vAlign w:val="center"/>
          </w:tcPr>
          <w:p>
            <w:pPr>
              <w:rPr>
                <w:rFonts w:hint="eastAsia" w:ascii="宋体" w:hAnsi="宋体" w:cs="宋体"/>
                <w:bCs/>
                <w:snapToGrid w:val="0"/>
                <w:szCs w:val="24"/>
                <w:lang w:val="en-US" w:eastAsia="zh-CN"/>
              </w:rPr>
            </w:pPr>
            <w:r>
              <w:rPr>
                <w:rFonts w:hint="eastAsia" w:ascii="宋体" w:hAnsi="宋体" w:cs="宋体"/>
                <w:bCs/>
                <w:snapToGrid w:val="0"/>
                <w:szCs w:val="24"/>
                <w:lang w:val="en-US" w:eastAsia="zh-CN"/>
              </w:rPr>
              <w:t>防护等级不低于IP65得2分，提供投标120kW直流充电设备检验报告扫描件证明，且检验报告具备CMA、ILAC-MRA、CNAS认证标识。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7"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rPr>
                <w:rFonts w:hint="eastAsia" w:ascii="宋体" w:hAnsi="宋体" w:eastAsia="宋体" w:cs="宋体"/>
                <w:sz w:val="21"/>
                <w:szCs w:val="21"/>
                <w:highlight w:val="none"/>
              </w:rPr>
            </w:pPr>
          </w:p>
        </w:tc>
        <w:tc>
          <w:tcPr>
            <w:tcW w:w="899" w:type="pct"/>
            <w:vMerge w:val="continue"/>
            <w:vAlign w:val="center"/>
          </w:tcPr>
          <w:p>
            <w:pPr>
              <w:pStyle w:val="2"/>
              <w:adjustRightInd w:val="0"/>
              <w:snapToGrid w:val="0"/>
              <w:jc w:val="center"/>
              <w:rPr>
                <w:rFonts w:hint="eastAsia" w:ascii="宋体" w:hAnsi="宋体" w:eastAsia="宋体" w:cs="宋体"/>
                <w:sz w:val="21"/>
                <w:szCs w:val="21"/>
                <w:highlight w:val="none"/>
              </w:rPr>
            </w:pPr>
          </w:p>
        </w:tc>
        <w:tc>
          <w:tcPr>
            <w:tcW w:w="3113" w:type="pct"/>
            <w:vAlign w:val="center"/>
          </w:tcPr>
          <w:p>
            <w:pPr>
              <w:rPr>
                <w:rFonts w:hint="eastAsia" w:ascii="宋体" w:hAnsi="宋体" w:cs="宋体"/>
                <w:bCs/>
                <w:snapToGrid w:val="0"/>
                <w:szCs w:val="24"/>
                <w:lang w:val="en-US" w:eastAsia="zh-CN"/>
              </w:rPr>
            </w:pPr>
            <w:r>
              <w:rPr>
                <w:rFonts w:hint="eastAsia" w:ascii="宋体" w:hAnsi="宋体" w:cs="宋体"/>
                <w:bCs/>
                <w:snapToGrid w:val="0"/>
                <w:szCs w:val="24"/>
                <w:lang w:val="en-US" w:eastAsia="zh-CN"/>
              </w:rPr>
              <w:t>噪音低于60dB得2分，提供投标120kW直流充电设备检验报告扫描件证明，且检验报告具备CMA、ILAC-MRA、CNAS认证标识。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7"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rPr>
                <w:rFonts w:hint="eastAsia" w:ascii="宋体" w:hAnsi="宋体" w:eastAsia="宋体" w:cs="宋体"/>
                <w:sz w:val="21"/>
                <w:szCs w:val="21"/>
                <w:highlight w:val="none"/>
              </w:rPr>
            </w:pPr>
          </w:p>
        </w:tc>
        <w:tc>
          <w:tcPr>
            <w:tcW w:w="899" w:type="pct"/>
            <w:vAlign w:val="center"/>
          </w:tcPr>
          <w:p>
            <w:pPr>
              <w:pStyle w:val="2"/>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供货方案</w:t>
            </w:r>
          </w:p>
          <w:p>
            <w:pPr>
              <w:pStyle w:val="2"/>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10  </w:t>
            </w:r>
            <w:r>
              <w:rPr>
                <w:rFonts w:hint="eastAsia" w:ascii="宋体" w:hAnsi="宋体" w:eastAsia="宋体" w:cs="宋体"/>
                <w:sz w:val="21"/>
                <w:szCs w:val="21"/>
                <w:highlight w:val="none"/>
              </w:rPr>
              <w:t>分）</w:t>
            </w:r>
          </w:p>
        </w:tc>
        <w:tc>
          <w:tcPr>
            <w:tcW w:w="3113" w:type="pct"/>
            <w:vAlign w:val="center"/>
          </w:tcPr>
          <w:p>
            <w:pPr>
              <w:pStyle w:val="2"/>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1、针对本项目设施设备的生产、供货计划具体、详细，可行性最优，针对性强得2.5-2分；一般得2-1.5分，较差得基础分1.5分。</w:t>
            </w:r>
          </w:p>
          <w:p>
            <w:pPr>
              <w:pStyle w:val="2"/>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2、针对本项目的设施设备质量保证措施、运输、装卸及安装的安全保证措施，具体、详细，可行性最优，针对性强得2.5-2分；一般得2-1.5分，较差得基础分1.5分。</w:t>
            </w:r>
          </w:p>
          <w:p>
            <w:pPr>
              <w:pStyle w:val="2"/>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3、针对本项目的设施设备使用的技术服务与培训方案具体、详细，可行性最优，针对性强得2.5-2分；一般得2-1.5分，较差得基础分1.5分。</w:t>
            </w:r>
          </w:p>
          <w:p>
            <w:pPr>
              <w:pStyle w:val="2"/>
              <w:numPr>
                <w:ilvl w:val="0"/>
                <w:numId w:val="0"/>
              </w:numPr>
              <w:adjustRightInd w:val="0"/>
              <w:snapToGrid w:val="0"/>
              <w:ind w:firstLine="210" w:firstLineChars="1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4、针对本项目售后服务方案（包括备品备件、设备损坏维修及更换、应急处理、售后服务响应等内容）具体、详细，可行性最优，针对性强得2.5-2分；一般得2-1.5分，较差得基础分1.5分。</w:t>
            </w:r>
            <w:r>
              <w:rPr>
                <w:rFonts w:hint="eastAsia" w:ascii="宋体" w:hAnsi="宋体" w:eastAsia="宋体" w:cs="宋体"/>
                <w:sz w:val="21"/>
                <w:szCs w:val="21"/>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58" w:hRule="atLeast"/>
        </w:trPr>
        <w:tc>
          <w:tcPr>
            <w:tcW w:w="497"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2.2.5</w:t>
            </w:r>
          </w:p>
        </w:tc>
        <w:tc>
          <w:tcPr>
            <w:tcW w:w="490"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报价文件</w:t>
            </w:r>
          </w:p>
        </w:tc>
        <w:tc>
          <w:tcPr>
            <w:tcW w:w="899" w:type="pct"/>
            <w:vAlign w:val="center"/>
          </w:tcPr>
          <w:p>
            <w:pPr>
              <w:pStyle w:val="2"/>
              <w:adjustRightInd w:val="0"/>
              <w:snapToGrid w:val="0"/>
              <w:ind w:left="210" w:hanging="210" w:hangingChars="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r>
              <w:rPr>
                <w:rFonts w:hint="eastAsia" w:ascii="宋体" w:hAnsi="宋体" w:eastAsia="宋体" w:cs="宋体"/>
                <w:sz w:val="21"/>
                <w:szCs w:val="21"/>
                <w:highlight w:val="none"/>
                <w:lang w:val="en-US" w:eastAsia="zh-CN"/>
              </w:rPr>
              <w:t xml:space="preserve">文件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60 </w:t>
            </w:r>
            <w:r>
              <w:rPr>
                <w:rFonts w:hint="eastAsia" w:ascii="宋体" w:hAnsi="宋体" w:eastAsia="宋体" w:cs="宋体"/>
                <w:sz w:val="21"/>
                <w:szCs w:val="21"/>
                <w:highlight w:val="none"/>
              </w:rPr>
              <w:t>分）</w:t>
            </w:r>
          </w:p>
        </w:tc>
        <w:tc>
          <w:tcPr>
            <w:tcW w:w="3113" w:type="pct"/>
            <w:vAlign w:val="center"/>
          </w:tcPr>
          <w:p>
            <w:pPr>
              <w:spacing w:line="288" w:lineRule="auto"/>
              <w:rPr>
                <w:rFonts w:hint="eastAsia" w:ascii="宋体" w:hAnsi="宋体" w:eastAsia="宋体" w:cs="宋体"/>
                <w:sz w:val="21"/>
                <w:szCs w:val="21"/>
              </w:rPr>
            </w:pPr>
            <w:r>
              <w:rPr>
                <w:rFonts w:hint="eastAsia" w:ascii="宋体" w:hAnsi="宋体" w:eastAsia="宋体" w:cs="宋体"/>
                <w:sz w:val="21"/>
                <w:szCs w:val="21"/>
              </w:rPr>
              <w:t>评标价得分计算公式示例：</w:t>
            </w:r>
          </w:p>
          <w:p>
            <w:pPr>
              <w:spacing w:line="288" w:lineRule="auto"/>
              <w:rPr>
                <w:rFonts w:hint="eastAsia" w:ascii="宋体" w:hAnsi="宋体" w:eastAsia="宋体" w:cs="宋体"/>
                <w:sz w:val="21"/>
                <w:szCs w:val="21"/>
              </w:rPr>
            </w:pPr>
            <w:r>
              <w:rPr>
                <w:rFonts w:hint="eastAsia" w:ascii="宋体" w:hAnsi="宋体" w:eastAsia="宋体" w:cs="宋体"/>
                <w:sz w:val="21"/>
                <w:szCs w:val="21"/>
              </w:rPr>
              <w:t>（1）如果投标人的评标价＞评标基准价，则评标价得分＝</w:t>
            </w:r>
            <w:r>
              <w:rPr>
                <w:rFonts w:hint="eastAsia" w:ascii="宋体" w:hAnsi="宋体" w:eastAsia="宋体" w:cs="宋体"/>
                <w:sz w:val="21"/>
                <w:szCs w:val="21"/>
                <w:u w:val="single"/>
                <w:lang w:val="en-US" w:eastAsia="zh-CN"/>
              </w:rPr>
              <w:t xml:space="preserve"> 60  </w:t>
            </w:r>
            <w:r>
              <w:rPr>
                <w:rFonts w:hint="eastAsia" w:ascii="宋体" w:hAnsi="宋体" w:eastAsia="宋体" w:cs="宋体"/>
                <w:sz w:val="21"/>
                <w:szCs w:val="21"/>
              </w:rPr>
              <w:t>－偏差率×100×E</w:t>
            </w:r>
            <w:r>
              <w:rPr>
                <w:rFonts w:hint="eastAsia" w:ascii="宋体" w:hAnsi="宋体" w:eastAsia="宋体" w:cs="宋体"/>
                <w:sz w:val="21"/>
                <w:szCs w:val="21"/>
                <w:vertAlign w:val="subscript"/>
              </w:rPr>
              <w:t>1</w:t>
            </w:r>
            <w:r>
              <w:rPr>
                <w:rFonts w:hint="eastAsia" w:ascii="宋体" w:hAnsi="宋体" w:eastAsia="宋体" w:cs="宋体"/>
                <w:sz w:val="21"/>
                <w:szCs w:val="21"/>
              </w:rPr>
              <w:t xml:space="preserve">； </w:t>
            </w:r>
          </w:p>
          <w:p>
            <w:pPr>
              <w:spacing w:line="288" w:lineRule="auto"/>
              <w:rPr>
                <w:rFonts w:hint="eastAsia" w:ascii="宋体" w:hAnsi="宋体" w:eastAsia="宋体" w:cs="宋体"/>
                <w:sz w:val="21"/>
                <w:szCs w:val="21"/>
              </w:rPr>
            </w:pPr>
            <w:r>
              <w:rPr>
                <w:rFonts w:hint="eastAsia" w:ascii="宋体" w:hAnsi="宋体" w:eastAsia="宋体" w:cs="宋体"/>
                <w:sz w:val="21"/>
                <w:szCs w:val="21"/>
              </w:rPr>
              <w:t>（2）如果投标人的评标价≤评标基准价，则评标价得分＝</w:t>
            </w:r>
            <w:r>
              <w:rPr>
                <w:rFonts w:hint="eastAsia" w:ascii="宋体" w:hAnsi="宋体" w:eastAsia="宋体" w:cs="宋体"/>
                <w:sz w:val="21"/>
                <w:szCs w:val="21"/>
                <w:u w:val="single"/>
                <w:lang w:val="en-US" w:eastAsia="zh-CN"/>
              </w:rPr>
              <w:t xml:space="preserve"> 60  </w:t>
            </w:r>
            <w:r>
              <w:rPr>
                <w:rFonts w:hint="eastAsia" w:ascii="宋体" w:hAnsi="宋体" w:eastAsia="宋体" w:cs="宋体"/>
                <w:sz w:val="21"/>
                <w:szCs w:val="21"/>
              </w:rPr>
              <w:t>＋偏差率×100×E</w:t>
            </w:r>
            <w:r>
              <w:rPr>
                <w:rFonts w:hint="eastAsia" w:ascii="宋体" w:hAnsi="宋体" w:eastAsia="宋体" w:cs="宋体"/>
                <w:sz w:val="21"/>
                <w:szCs w:val="21"/>
                <w:vertAlign w:val="subscript"/>
              </w:rPr>
              <w:t>2</w:t>
            </w:r>
            <w:r>
              <w:rPr>
                <w:rFonts w:hint="eastAsia" w:ascii="宋体" w:hAnsi="宋体" w:eastAsia="宋体" w:cs="宋体"/>
                <w:sz w:val="21"/>
                <w:szCs w:val="21"/>
              </w:rPr>
              <w:t>；</w:t>
            </w:r>
          </w:p>
          <w:p>
            <w:pPr>
              <w:spacing w:line="288" w:lineRule="auto"/>
              <w:rPr>
                <w:rFonts w:hint="eastAsia" w:ascii="宋体" w:hAnsi="宋体" w:eastAsia="宋体" w:cs="宋体"/>
                <w:sz w:val="21"/>
                <w:szCs w:val="21"/>
              </w:rPr>
            </w:pPr>
            <w:r>
              <w:rPr>
                <w:rFonts w:hint="eastAsia" w:ascii="宋体" w:hAnsi="宋体" w:eastAsia="宋体" w:cs="宋体"/>
                <w:sz w:val="21"/>
                <w:szCs w:val="21"/>
              </w:rPr>
              <w:t>其中：E</w:t>
            </w:r>
            <w:r>
              <w:rPr>
                <w:rFonts w:hint="eastAsia" w:ascii="宋体" w:hAnsi="宋体" w:eastAsia="宋体" w:cs="宋体"/>
                <w:sz w:val="21"/>
                <w:szCs w:val="21"/>
                <w:vertAlign w:val="subscript"/>
              </w:rPr>
              <w:t>1</w:t>
            </w:r>
            <w:r>
              <w:rPr>
                <w:rFonts w:hint="eastAsia" w:ascii="宋体" w:hAnsi="宋体" w:eastAsia="宋体" w:cs="宋体"/>
                <w:sz w:val="21"/>
                <w:szCs w:val="21"/>
              </w:rPr>
              <w:t>是评标价每高于评标基准价一个百分点的扣分值；E</w:t>
            </w:r>
            <w:r>
              <w:rPr>
                <w:rFonts w:hint="eastAsia" w:ascii="宋体" w:hAnsi="宋体" w:eastAsia="宋体" w:cs="宋体"/>
                <w:sz w:val="21"/>
                <w:szCs w:val="21"/>
                <w:vertAlign w:val="subscript"/>
              </w:rPr>
              <w:t>2</w:t>
            </w:r>
            <w:r>
              <w:rPr>
                <w:rFonts w:hint="eastAsia" w:ascii="宋体" w:hAnsi="宋体" w:eastAsia="宋体" w:cs="宋体"/>
                <w:sz w:val="21"/>
                <w:szCs w:val="21"/>
              </w:rPr>
              <w:t>是评标价每低于评标基准价一个百分点的扣分值。</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vertAlign w:val="subscript"/>
              </w:rPr>
              <w:t>1</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0.6  </w:t>
            </w:r>
            <w:r>
              <w:rPr>
                <w:rFonts w:hint="eastAsia" w:ascii="宋体" w:hAnsi="宋体" w:eastAsia="宋体" w:cs="宋体"/>
                <w:sz w:val="21"/>
                <w:szCs w:val="21"/>
              </w:rPr>
              <w:t>，E</w:t>
            </w:r>
            <w:r>
              <w:rPr>
                <w:rFonts w:hint="eastAsia" w:ascii="宋体" w:hAnsi="宋体" w:eastAsia="宋体" w:cs="宋体"/>
                <w:sz w:val="21"/>
                <w:szCs w:val="21"/>
                <w:vertAlign w:val="subscript"/>
              </w:rPr>
              <w:t>2</w:t>
            </w:r>
            <w:r>
              <w:rPr>
                <w:rFonts w:hint="eastAsia" w:ascii="宋体" w:hAnsi="宋体" w:eastAsia="宋体" w:cs="宋体"/>
                <w:sz w:val="21"/>
                <w:szCs w:val="21"/>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single"/>
                <w:lang w:val="en-US" w:eastAsia="zh-CN"/>
              </w:rPr>
              <w:t xml:space="preserve">  0.3   </w:t>
            </w:r>
            <w:r>
              <w:rPr>
                <w:rFonts w:hint="eastAsia" w:ascii="宋体" w:hAnsi="宋体" w:eastAsia="宋体" w:cs="宋体"/>
                <w:sz w:val="21"/>
                <w:szCs w:val="21"/>
              </w:rPr>
              <w:t>。</w:t>
            </w:r>
          </w:p>
        </w:tc>
      </w:tr>
    </w:tbl>
    <w:p>
      <w:pPr>
        <w:rPr>
          <w:rFonts w:hint="eastAsia" w:ascii="黑体" w:eastAsia="黑体"/>
          <w:sz w:val="30"/>
          <w:szCs w:val="30"/>
          <w:highlight w:val="none"/>
          <w:lang w:val="en-US" w:eastAsia="zh-CN"/>
        </w:rPr>
      </w:pPr>
      <w:r>
        <w:rPr>
          <w:rFonts w:hint="eastAsia" w:ascii="黑体" w:eastAsia="黑体"/>
          <w:sz w:val="30"/>
          <w:szCs w:val="30"/>
          <w:highlight w:val="none"/>
          <w:lang w:val="en-US" w:eastAsia="zh-CN"/>
        </w:rPr>
        <w:br w:type="page"/>
      </w:r>
    </w:p>
    <w:p>
      <w:pPr>
        <w:jc w:val="left"/>
        <w:rPr>
          <w:rFonts w:ascii="Times New Roman" w:hAnsi="Times New Roman" w:eastAsia="黑体" w:cs="Times New Roman"/>
          <w:bCs/>
          <w:sz w:val="24"/>
          <w:szCs w:val="32"/>
        </w:rPr>
      </w:pP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本次评审采用综合评分法。</w:t>
      </w:r>
      <w:r>
        <w:rPr>
          <w:rFonts w:hint="eastAsia" w:ascii="Times New Roman" w:hAnsi="Times New Roman" w:cs="Times New Roman"/>
        </w:rPr>
        <w:t>评审小组</w:t>
      </w:r>
      <w:r>
        <w:rPr>
          <w:rFonts w:ascii="Times New Roman" w:hAnsi="Times New Roman" w:cs="Times New Roman"/>
        </w:rPr>
        <w:t>对满足询比文件实质性要求的响应文件按照本章规定的评分标准进行打分，按照得分由高到低依次推荐成交候选人。如得分相同的，按照评审办法前附表中的规定确定成交候选人顺序。</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cs="Times New Roman"/>
        </w:rPr>
      </w:pPr>
      <w:r>
        <w:rPr>
          <w:rFonts w:ascii="Times New Roman" w:hAnsi="Times New Roman" w:cs="Times New Roman"/>
        </w:rPr>
        <w:t>2.2.1分值构成：</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技术性能</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供货方案</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2.2.2 评审基准价计算</w:t>
      </w:r>
    </w:p>
    <w:p>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pPr>
        <w:spacing w:line="440" w:lineRule="exact"/>
        <w:ind w:firstLine="420"/>
        <w:rPr>
          <w:rFonts w:ascii="Times New Roman" w:hAnsi="Times New Roman" w:cs="Times New Roman"/>
        </w:rPr>
      </w:pPr>
      <w:r>
        <w:rPr>
          <w:rFonts w:ascii="Times New Roman" w:hAnsi="Times New Roman" w:cs="Times New Roman"/>
        </w:rPr>
        <w:t>2.2.3 评审价的偏差率计算</w:t>
      </w:r>
    </w:p>
    <w:p>
      <w:pPr>
        <w:spacing w:line="440" w:lineRule="exact"/>
        <w:ind w:firstLine="420"/>
        <w:rPr>
          <w:rFonts w:ascii="Times New Roman" w:hAnsi="Times New Roman" w:cs="Times New Roman"/>
        </w:rPr>
      </w:pPr>
      <w:r>
        <w:rPr>
          <w:rFonts w:ascii="Times New Roman" w:hAnsi="Times New Roman" w:cs="Times New Roman"/>
        </w:rPr>
        <w:t>评审价的偏差率计算公式：见评审办法前附表。</w:t>
      </w:r>
    </w:p>
    <w:p>
      <w:pPr>
        <w:spacing w:line="440" w:lineRule="exact"/>
        <w:ind w:firstLine="420"/>
        <w:rPr>
          <w:rFonts w:ascii="Times New Roman" w:hAnsi="Times New Roman" w:cs="Times New Roman"/>
        </w:rPr>
      </w:pPr>
      <w:r>
        <w:rPr>
          <w:rFonts w:ascii="Times New Roman" w:hAnsi="Times New Roman" w:cs="Times New Roman"/>
        </w:rPr>
        <w:t>2.2.4评分标准：</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技术性能</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供货方案</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评分标准：见评审办法前附表。</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 xml:space="preserve"> 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w:t>
      </w:r>
      <w:r>
        <w:rPr>
          <w:rFonts w:hint="eastAsia" w:ascii="Times New Roman" w:hAnsi="Times New Roman" w:cs="Times New Roman"/>
        </w:rPr>
        <w:t>，且报价函中填写的内容满足询比文件要求</w:t>
      </w:r>
      <w:r>
        <w:rPr>
          <w:rFonts w:ascii="Times New Roman" w:hAnsi="Times New Roman" w:cs="Times New Roman"/>
        </w:rPr>
        <w:t>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3.1.3 </w:t>
      </w:r>
      <w:r>
        <w:rPr>
          <w:rFonts w:ascii="Times New Roman" w:hAnsi="Times New Roman" w:cs="Times New Roman"/>
        </w:rPr>
        <w:t>报价存在</w:t>
      </w:r>
      <w:r>
        <w:rPr>
          <w:rFonts w:hint="eastAsia" w:ascii="Times New Roman" w:hAnsi="Times New Roman" w:cs="Times New Roman"/>
        </w:rPr>
        <w:t>以下</w:t>
      </w:r>
      <w:r>
        <w:rPr>
          <w:rFonts w:ascii="Times New Roman" w:hAnsi="Times New Roman" w:cs="Times New Roman"/>
        </w:rPr>
        <w:t>细微偏差的，</w:t>
      </w:r>
      <w:r>
        <w:rPr>
          <w:rFonts w:hint="eastAsia" w:ascii="Times New Roman" w:hAnsi="Times New Roman" w:cs="Times New Roman"/>
        </w:rPr>
        <w:t>评审小组</w:t>
      </w:r>
      <w:r>
        <w:rPr>
          <w:rFonts w:ascii="Times New Roman" w:hAnsi="Times New Roman" w:cs="Times New Roman"/>
        </w:rPr>
        <w:t>按以上原则对报价进行处理，并要求供应商书面澄清确认，供应商拒不澄清确认的，</w:t>
      </w:r>
      <w:r>
        <w:rPr>
          <w:rFonts w:hint="eastAsia" w:ascii="Times New Roman" w:hAnsi="Times New Roman" w:cs="Times New Roman"/>
        </w:rPr>
        <w:t>评审小组</w:t>
      </w:r>
      <w:r>
        <w:rPr>
          <w:rFonts w:ascii="Times New Roman" w:hAnsi="Times New Roman" w:cs="Times New Roman"/>
        </w:rPr>
        <w:t>应当否决其报价。</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hint="eastAsia" w:ascii="Times New Roman" w:hAnsi="Times New Roman" w:cs="Times New Roman"/>
        </w:rPr>
        <w:t>（2）报价</w:t>
      </w:r>
      <w:r>
        <w:rPr>
          <w:rFonts w:ascii="Times New Roman" w:hAnsi="Times New Roman" w:cs="Times New Roman"/>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4 </w:t>
      </w:r>
      <w:r>
        <w:rPr>
          <w:rFonts w:ascii="Times New Roman" w:hAnsi="Times New Roman" w:cs="Times New Roman"/>
        </w:rPr>
        <w:t>修正后的最终报价若超过最高限价（如有），</w:t>
      </w:r>
      <w:r>
        <w:rPr>
          <w:rFonts w:hint="eastAsia" w:ascii="Times New Roman" w:hAnsi="Times New Roman" w:cs="Times New Roman"/>
        </w:rPr>
        <w:t>评审小组</w:t>
      </w:r>
      <w:r>
        <w:rPr>
          <w:rFonts w:ascii="Times New Roman" w:hAnsi="Times New Roman" w:cs="Times New Roman"/>
        </w:rPr>
        <w:t>应否决其报价。</w:t>
      </w:r>
    </w:p>
    <w:p>
      <w:pPr>
        <w:spacing w:line="440" w:lineRule="exact"/>
        <w:ind w:firstLine="420"/>
      </w:pPr>
      <w:r>
        <w:rPr>
          <w:rFonts w:ascii="Times New Roman" w:hAnsi="Times New Roman" w:cs="Times New Roman"/>
        </w:rPr>
        <w:t>3.1.</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szCs w:val="21"/>
        </w:rPr>
        <w:t>修正后的</w:t>
      </w:r>
      <w:r>
        <w:rPr>
          <w:rFonts w:ascii="Times New Roman" w:hAnsi="Times New Roman" w:cs="Times New Roman"/>
        </w:rPr>
        <w:t>最终报价参与评审价得分的计算</w:t>
      </w:r>
      <w:r>
        <w:rPr>
          <w:rFonts w:hint="eastAsia" w:ascii="Times New Roman" w:hAnsi="Times New Roman" w:cs="Times New Roman"/>
        </w:rPr>
        <w:t>，并作为签订合同的依据</w:t>
      </w:r>
      <w:r>
        <w:rPr>
          <w:rFonts w:ascii="Times New Roman" w:hAnsi="Times New Roman" w:cs="Times New Roman"/>
        </w:rPr>
        <w:t>。</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cs="Times New Roman"/>
        </w:rPr>
      </w:pPr>
      <w:r>
        <w:rPr>
          <w:rFonts w:ascii="Times New Roman" w:hAnsi="Times New Roman" w:cs="Times New Roman"/>
        </w:rPr>
        <w:t xml:space="preserve">3.2.1 </w:t>
      </w:r>
      <w:r>
        <w:rPr>
          <w:rFonts w:hint="eastAsia" w:ascii="Times New Roman" w:hAnsi="Times New Roman" w:cs="Times New Roman"/>
        </w:rPr>
        <w:t>评审小组</w:t>
      </w:r>
      <w:r>
        <w:rPr>
          <w:rFonts w:ascii="Times New Roman" w:hAnsi="Times New Roman" w:cs="Times New Roman"/>
        </w:rPr>
        <w:t>按本章第2.2款规定的量化因素和分值进行打分，并计算出综合评估得分。</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3.2.2 评分分值计算保留小数点后两位，小数点后第三位“四舍五入”。</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 xml:space="preserve">3.2.3 </w:t>
      </w:r>
      <w:r>
        <w:rPr>
          <w:rFonts w:hint="eastAsia" w:ascii="Times New Roman" w:hAnsi="Times New Roman" w:cs="Times New Roman"/>
          <w:highlight w:val="none"/>
        </w:rPr>
        <w:t>评审小组成员对</w:t>
      </w:r>
      <w:r>
        <w:rPr>
          <w:rFonts w:ascii="Times New Roman" w:hAnsi="Times New Roman" w:cs="Times New Roman"/>
          <w:highlight w:val="none"/>
        </w:rPr>
        <w:t>供应商</w:t>
      </w:r>
      <w:r>
        <w:rPr>
          <w:rFonts w:hint="eastAsia" w:ascii="Times New Roman" w:hAnsi="Times New Roman" w:cs="Times New Roman"/>
          <w:highlight w:val="none"/>
        </w:rPr>
        <w:t>综合评分，供应商最终得分为各评审小组成员评分的算数平均值</w:t>
      </w:r>
      <w:r>
        <w:rPr>
          <w:rFonts w:ascii="Times New Roman" w:hAnsi="Times New Roman" w:cs="Times New Roman"/>
          <w:highlight w:val="none"/>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strike/>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完成评审后，应当向采购人提交评审报告。评审报告应当如实记载以下内容：</w:t>
      </w:r>
    </w:p>
    <w:p>
      <w:pPr>
        <w:spacing w:line="440" w:lineRule="exact"/>
        <w:ind w:firstLine="420"/>
        <w:rPr>
          <w:rFonts w:ascii="Times New Roman" w:hAnsi="Times New Roman" w:cs="Times New Roman"/>
        </w:rPr>
      </w:pPr>
      <w:r>
        <w:rPr>
          <w:rFonts w:ascii="Times New Roman" w:hAnsi="Times New Roman" w:cs="Times New Roman"/>
        </w:rPr>
        <w:t>（一）采购项目基本情况</w:t>
      </w:r>
    </w:p>
    <w:p>
      <w:pPr>
        <w:spacing w:line="440" w:lineRule="exact"/>
        <w:ind w:firstLine="420"/>
        <w:rPr>
          <w:rFonts w:ascii="Times New Roman" w:hAnsi="Times New Roman" w:cs="Times New Roman"/>
        </w:rPr>
      </w:pPr>
      <w:r>
        <w:rPr>
          <w:rFonts w:ascii="Times New Roman" w:hAnsi="Times New Roman" w:cs="Times New Roman"/>
        </w:rPr>
        <w:t>（二）采购过程回顾</w:t>
      </w:r>
    </w:p>
    <w:p>
      <w:pPr>
        <w:spacing w:line="440" w:lineRule="exact"/>
        <w:ind w:firstLine="420"/>
        <w:rPr>
          <w:rFonts w:ascii="Times New Roman" w:hAnsi="Times New Roman" w:cs="Times New Roman"/>
        </w:rPr>
      </w:pPr>
      <w:r>
        <w:rPr>
          <w:rFonts w:ascii="Times New Roman" w:hAnsi="Times New Roman" w:cs="Times New Roman"/>
        </w:rPr>
        <w:t>（三）评审小组成员名单</w:t>
      </w:r>
    </w:p>
    <w:p>
      <w:pPr>
        <w:spacing w:line="440" w:lineRule="exact"/>
        <w:ind w:firstLine="420"/>
        <w:rPr>
          <w:rFonts w:ascii="Times New Roman" w:hAnsi="Times New Roman" w:cs="Times New Roman"/>
        </w:rPr>
      </w:pPr>
      <w:r>
        <w:rPr>
          <w:rFonts w:ascii="Times New Roman" w:hAnsi="Times New Roman" w:cs="Times New Roman"/>
        </w:rPr>
        <w:t>（四）询比评审工作</w:t>
      </w:r>
    </w:p>
    <w:p>
      <w:pPr>
        <w:spacing w:line="440" w:lineRule="exact"/>
        <w:ind w:firstLine="420"/>
        <w:rPr>
          <w:rFonts w:ascii="Times New Roman" w:hAnsi="Times New Roman" w:cs="Times New Roman"/>
        </w:rPr>
      </w:pPr>
      <w:r>
        <w:rPr>
          <w:rFonts w:hint="default" w:ascii="Times New Roman" w:hAnsi="Times New Roman" w:cs="Times New Roman"/>
        </w:rPr>
        <w:t>1、</w:t>
      </w:r>
      <w:r>
        <w:rPr>
          <w:rFonts w:ascii="Times New Roman" w:hAnsi="Times New Roman" w:cs="Times New Roman"/>
        </w:rPr>
        <w:t>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详细评审情况（</w:t>
      </w:r>
      <w:r>
        <w:rPr>
          <w:rFonts w:ascii="Times New Roman" w:hAnsi="Times New Roman" w:cs="Times New Roman"/>
        </w:rPr>
        <w:t>供应商的</w:t>
      </w:r>
      <w:r>
        <w:rPr>
          <w:rFonts w:hint="eastAsia" w:ascii="Times New Roman" w:hAnsi="Times New Roman" w:cs="Times New Roman"/>
        </w:rPr>
        <w:t>综合</w:t>
      </w:r>
      <w:r>
        <w:rPr>
          <w:rFonts w:ascii="Times New Roman" w:hAnsi="Times New Roman" w:cs="Times New Roman"/>
        </w:rPr>
        <w:t>评分情况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hint="default" w:ascii="Times New Roman" w:hAnsi="Times New Roman" w:cs="Times New Roman"/>
        </w:rPr>
        <w:t>5、</w:t>
      </w:r>
      <w:r>
        <w:rPr>
          <w:rFonts w:ascii="Times New Roman" w:hAnsi="Times New Roman" w:cs="Times New Roman"/>
        </w:rPr>
        <w:t>推荐候选供应商排序</w:t>
      </w:r>
    </w:p>
    <w:p>
      <w:pPr>
        <w:spacing w:line="440" w:lineRule="exact"/>
        <w:ind w:firstLine="420"/>
        <w:rPr>
          <w:rFonts w:ascii="Times New Roman" w:hAnsi="Times New Roman" w:cs="Times New Roman"/>
        </w:rPr>
      </w:pPr>
      <w:r>
        <w:rPr>
          <w:rFonts w:ascii="Times New Roman" w:hAnsi="Times New Roman" w:cs="Times New Roman"/>
        </w:rPr>
        <w:t>（五）需要说明的其他事项</w:t>
      </w:r>
    </w:p>
    <w:p>
      <w:pPr>
        <w:spacing w:line="440" w:lineRule="exact"/>
        <w:ind w:firstLine="420"/>
        <w:rPr>
          <w:rFonts w:ascii="Times New Roman" w:hAnsi="Times New Roman" w:cs="Times New Roman"/>
        </w:rPr>
      </w:pPr>
      <w:r>
        <w:rPr>
          <w:rFonts w:ascii="Times New Roman" w:hAnsi="Times New Roman" w:cs="Times New Roman"/>
        </w:rPr>
        <w:t>（六）评审附表</w:t>
      </w:r>
    </w:p>
    <w:p>
      <w:pPr>
        <w:spacing w:line="440" w:lineRule="exact"/>
        <w:ind w:firstLine="420"/>
        <w:rPr>
          <w:rFonts w:ascii="Times New Roman" w:hAnsi="Times New Roman" w:cs="Times New Roman"/>
        </w:rPr>
      </w:pPr>
      <w:r>
        <w:rPr>
          <w:rFonts w:hint="default" w:ascii="Times New Roman" w:hAnsi="Times New Roman" w:cs="Times New Roman"/>
        </w:rPr>
        <w:t>1、</w:t>
      </w:r>
      <w:r>
        <w:rPr>
          <w:rFonts w:ascii="Times New Roman" w:hAnsi="Times New Roman" w:cs="Times New Roman"/>
        </w:rPr>
        <w:t>响应文件开启记录表</w:t>
      </w:r>
    </w:p>
    <w:p>
      <w:pPr>
        <w:spacing w:line="440" w:lineRule="exact"/>
        <w:ind w:firstLine="420"/>
        <w:rPr>
          <w:rFonts w:ascii="Times New Roman" w:hAnsi="Times New Roman" w:cs="Times New Roman"/>
        </w:rPr>
      </w:pPr>
      <w:r>
        <w:rPr>
          <w:rFonts w:hint="default" w:ascii="Times New Roman" w:hAnsi="Times New Roman" w:cs="Times New Roman"/>
        </w:rPr>
        <w:t>2、</w:t>
      </w:r>
      <w:r>
        <w:rPr>
          <w:rFonts w:ascii="Times New Roman" w:hAnsi="Times New Roman" w:cs="Times New Roman"/>
        </w:rPr>
        <w:t>评审表格</w:t>
      </w:r>
    </w:p>
    <w:p>
      <w:pPr>
        <w:spacing w:line="440" w:lineRule="exact"/>
        <w:ind w:firstLine="420"/>
        <w:rPr>
          <w:rFonts w:hint="default" w:ascii="Times New Roman" w:hAnsi="Times New Roman" w:cs="Times New Roman"/>
          <w:color w:val="auto"/>
          <w:highlight w:val="none"/>
          <w:lang w:val="en-US" w:eastAsia="zh-CN"/>
        </w:rPr>
      </w:pPr>
    </w:p>
    <w:p>
      <w:pPr>
        <w:pStyle w:val="2"/>
        <w:rPr>
          <w:rFonts w:hint="default"/>
        </w:rPr>
      </w:pPr>
    </w:p>
    <w:p>
      <w:pPr>
        <w:rPr>
          <w:rFonts w:hint="default"/>
        </w:rPr>
      </w:pPr>
    </w:p>
    <w:p>
      <w:pPr>
        <w:pStyle w:val="2"/>
        <w:rPr>
          <w:rFonts w:hint="default"/>
        </w:rPr>
      </w:pPr>
    </w:p>
    <w:p>
      <w:pPr>
        <w:pStyle w:val="2"/>
        <w:rPr>
          <w:rFonts w:ascii="Times New Roman" w:hAnsi="Times New Roman"/>
        </w:rPr>
      </w:pPr>
    </w:p>
    <w:p>
      <w:pPr>
        <w:widowControl/>
        <w:jc w:val="left"/>
        <w:rPr>
          <w:rFonts w:ascii="Times New Roman" w:hAnsi="Times New Roman" w:eastAsia="宋体" w:cs="Times New Roman"/>
        </w:rPr>
      </w:pPr>
    </w:p>
    <w:p>
      <w:pPr>
        <w:pStyle w:val="19"/>
        <w:rPr>
          <w:rFonts w:ascii="Times New Roman" w:hAnsi="Times New Roman" w:eastAsia="宋体" w:cs="Times New Roman"/>
        </w:rPr>
      </w:pPr>
    </w:p>
    <w:p>
      <w:pPr>
        <w:pStyle w:val="19"/>
        <w:rPr>
          <w:rFonts w:ascii="Times New Roman" w:hAnsi="Times New Roman" w:eastAsia="宋体" w:cs="Times New Roman"/>
        </w:rPr>
      </w:pPr>
    </w:p>
    <w:p>
      <w:pPr>
        <w:pStyle w:val="19"/>
        <w:rPr>
          <w:rFonts w:ascii="Times New Roman" w:hAnsi="Times New Roman" w:eastAsia="宋体" w:cs="Times New Roman"/>
        </w:rPr>
      </w:pPr>
    </w:p>
    <w:p>
      <w:pPr>
        <w:rPr>
          <w:rFonts w:ascii="Times New Roman" w:hAnsi="Times New Roman" w:eastAsia="宋体" w:cs="Times New Roman"/>
        </w:rPr>
      </w:pPr>
    </w:p>
    <w:p>
      <w:pPr>
        <w:spacing w:line="408" w:lineRule="auto"/>
        <w:ind w:firstLine="420" w:firstLineChars="200"/>
        <w:rPr>
          <w:rFonts w:hint="eastAsia" w:ascii="宋体" w:hAnsi="宋体" w:cs="宋体"/>
          <w:szCs w:val="21"/>
          <w:highlight w:val="none"/>
        </w:rPr>
      </w:pPr>
      <w:r>
        <w:rPr>
          <w:rFonts w:hint="eastAsia" w:ascii="宋体" w:hAnsi="宋体" w:cs="宋体"/>
          <w:szCs w:val="21"/>
          <w:highlight w:val="none"/>
        </w:rPr>
        <w:br w:type="page"/>
      </w:r>
    </w:p>
    <w:p>
      <w:pPr>
        <w:pStyle w:val="4"/>
        <w:numPr>
          <w:ilvl w:val="0"/>
          <w:numId w:val="0"/>
        </w:numPr>
        <w:spacing w:before="312" w:after="312"/>
        <w:ind w:leftChars="0"/>
        <w:jc w:val="center"/>
        <w:rPr>
          <w:rFonts w:ascii="Times New Roman" w:hAnsi="Times New Roman" w:eastAsia="宋体" w:cs="Times New Roman"/>
        </w:rPr>
      </w:pPr>
      <w:bookmarkStart w:id="60" w:name="_Toc27362"/>
      <w:r>
        <w:rPr>
          <w:rFonts w:hint="eastAsia" w:ascii="Times New Roman" w:hAnsi="Times New Roman" w:eastAsia="宋体" w:cs="Times New Roman"/>
          <w:lang w:val="en-US" w:eastAsia="zh-CN"/>
        </w:rPr>
        <w:t xml:space="preserve">第四章 </w:t>
      </w:r>
      <w:r>
        <w:rPr>
          <w:rFonts w:ascii="Times New Roman" w:hAnsi="Times New Roman" w:eastAsia="宋体" w:cs="Times New Roman"/>
        </w:rPr>
        <w:t>合同内容</w:t>
      </w:r>
      <w:bookmarkEnd w:id="60"/>
    </w:p>
    <w:p/>
    <w:p>
      <w:pPr>
        <w:pStyle w:val="4"/>
        <w:numPr>
          <w:ilvl w:val="255"/>
          <w:numId w:val="0"/>
        </w:numPr>
        <w:spacing w:before="312" w:after="312"/>
        <w:ind w:left="402"/>
        <w:outlineLvl w:val="9"/>
        <w:rPr>
          <w:rFonts w:hint="eastAsia" w:ascii="Times New Roman" w:hAnsi="Times New Roman" w:eastAsia="宋体" w:cs="Times New Roman"/>
        </w:rPr>
      </w:pPr>
    </w:p>
    <w:p>
      <w:pPr>
        <w:rPr>
          <w:rFonts w:hint="eastAsia" w:ascii="Times New Roman" w:hAnsi="Times New Roman" w:eastAsia="宋体" w:cs="Times New Roman"/>
        </w:rPr>
      </w:pPr>
    </w:p>
    <w:p>
      <w:pPr>
        <w:pStyle w:val="2"/>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pStyle w:val="26"/>
        <w:rPr>
          <w:rFonts w:hint="eastAsia" w:ascii="Times New Roman" w:hAnsi="Times New Roman" w:eastAsia="宋体" w:cs="Times New Roman"/>
        </w:rPr>
      </w:pPr>
    </w:p>
    <w:p>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lang w:eastAsia="zh-CN"/>
        </w:rPr>
      </w:pP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项目名称</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color w:val="auto"/>
          <w:sz w:val="44"/>
          <w:szCs w:val="44"/>
          <w:lang w:val="en-US" w:eastAsia="zh-CN"/>
        </w:rPr>
        <w:t>采购</w:t>
      </w:r>
      <w:r>
        <w:rPr>
          <w:rFonts w:hint="eastAsia" w:ascii="方正小标宋简体" w:hAnsi="方正小标宋简体" w:eastAsia="方正小标宋简体" w:cs="方正小标宋简体"/>
          <w:bCs/>
          <w:color w:val="auto"/>
          <w:sz w:val="44"/>
          <w:szCs w:val="44"/>
          <w:lang w:eastAsia="zh-CN"/>
        </w:rPr>
        <w:t>合同</w:t>
      </w:r>
    </w:p>
    <w:p>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eastAsia="zh-CN"/>
        </w:rPr>
        <w:t>安徽省经工物资有限公司</w:t>
      </w:r>
      <w:r>
        <w:rPr>
          <w:rFonts w:hint="eastAsia" w:ascii="仿宋_GB2312" w:hAnsi="仿宋_GB2312" w:eastAsia="仿宋_GB2312" w:cs="仿宋_GB2312"/>
          <w:color w:val="auto"/>
          <w:sz w:val="28"/>
          <w:szCs w:val="28"/>
        </w:rPr>
        <w:t>（以下简称甲方）</w:t>
      </w:r>
    </w:p>
    <w:p>
      <w:pPr>
        <w:keepNext w:val="0"/>
        <w:keepLines w:val="0"/>
        <w:pageBreakBefore w:val="0"/>
        <w:widowControl w:val="0"/>
        <w:tabs>
          <w:tab w:val="left" w:pos="5370"/>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供应方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color w:val="auto"/>
          <w:sz w:val="28"/>
          <w:szCs w:val="28"/>
        </w:rPr>
        <w:t xml:space="preserve">（以下简称乙方）  </w:t>
      </w:r>
    </w:p>
    <w:p>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rPr>
        <w:t>依据《</w:t>
      </w:r>
      <w:r>
        <w:rPr>
          <w:rFonts w:hint="eastAsia" w:ascii="仿宋_GB2312" w:hAnsi="仿宋_GB2312" w:eastAsia="仿宋_GB2312" w:cs="仿宋_GB2312"/>
          <w:color w:val="auto"/>
          <w:sz w:val="28"/>
          <w:szCs w:val="28"/>
          <w:lang w:eastAsia="zh-CN"/>
        </w:rPr>
        <w:t>中华人民共和国民法典</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及有关</w:t>
      </w:r>
      <w:r>
        <w:rPr>
          <w:rFonts w:hint="eastAsia" w:ascii="仿宋_GB2312" w:hAnsi="仿宋_GB2312" w:eastAsia="仿宋_GB2312" w:cs="仿宋_GB2312"/>
          <w:color w:val="auto"/>
          <w:sz w:val="28"/>
          <w:szCs w:val="28"/>
        </w:rPr>
        <w:t>规定，</w:t>
      </w:r>
      <w:r>
        <w:rPr>
          <w:rFonts w:hint="eastAsia" w:ascii="仿宋_GB2312" w:hAnsi="仿宋_GB2312" w:eastAsia="仿宋_GB2312" w:cs="仿宋_GB2312"/>
          <w:color w:val="auto"/>
          <w:sz w:val="28"/>
          <w:szCs w:val="28"/>
          <w:lang w:val="en-US" w:eastAsia="zh-CN"/>
        </w:rPr>
        <w:t>甲、乙双方经过友好协商，现就甲方向乙方购买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用于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color w:val="auto"/>
          <w:sz w:val="28"/>
          <w:szCs w:val="28"/>
          <w:u w:val="none"/>
          <w:lang w:val="en-US" w:eastAsia="zh-CN"/>
        </w:rPr>
        <w:t>有关事宜，达成如下一致条款</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以资双方共同遵照执行</w:t>
      </w:r>
      <w:r>
        <w:rPr>
          <w:rFonts w:hint="eastAsia" w:ascii="仿宋_GB2312" w:hAnsi="仿宋_GB2312" w:eastAsia="仿宋_GB2312" w:cs="仿宋_GB2312"/>
          <w:color w:val="auto"/>
          <w:sz w:val="28"/>
          <w:szCs w:val="28"/>
          <w:u w:val="none"/>
        </w:rPr>
        <w:t>：</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第一条  合同价款</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1.本合同总价人民币大写：</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具体报价清单见附件，产品为固定综合单价，已经包含税费、材料费（含辅材）、运输费、装卸费、人员成本、安装调试、各项实验检验费、验收费以及与货物有关的特殊要求等可能产生的所有成本和费用。在合同执行期内，材料单价不因市场波动、政策调整、人工涨跌等原因做任何形式的调整。本合同所列工程量为暂估数量，最终以签收数量（乙方无条件补货与退货，并承担相应的运输、装卸货等费用）和固定综合单价进行结算。</w:t>
      </w:r>
    </w:p>
    <w:p>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rPr>
        <w:t>第二条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交货方</w:t>
      </w:r>
      <w:r>
        <w:rPr>
          <w:rFonts w:hint="eastAsia" w:ascii="黑体" w:hAnsi="黑体" w:eastAsia="黑体" w:cs="黑体"/>
          <w:b w:val="0"/>
          <w:bCs/>
          <w:color w:val="auto"/>
          <w:sz w:val="28"/>
          <w:szCs w:val="28"/>
          <w:highlight w:val="none"/>
        </w:rPr>
        <w:t>式、时间及地点</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w:t>
      </w:r>
    </w:p>
    <w:p>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w:t>
      </w:r>
      <w:r>
        <w:rPr>
          <w:rFonts w:hint="eastAsia" w:ascii="仿宋_GB2312" w:hAnsi="仿宋_GB2312" w:eastAsia="仿宋_GB2312" w:cs="仿宋_GB2312"/>
          <w:color w:val="auto"/>
          <w:kern w:val="2"/>
          <w:sz w:val="28"/>
          <w:szCs w:val="28"/>
          <w:lang w:val="en-US" w:eastAsia="zh-CN" w:bidi="ar-SA"/>
        </w:rPr>
        <w:t>联系地址为：</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u w:val="none"/>
          <w:lang w:val="en-US" w:eastAsia="zh-CN" w:bidi="ar-SA"/>
        </w:rPr>
        <w:t>，</w:t>
      </w:r>
      <w:r>
        <w:rPr>
          <w:rFonts w:hint="eastAsia" w:ascii="仿宋_GB2312" w:hAnsi="仿宋_GB2312" w:eastAsia="仿宋_GB2312" w:cs="仿宋_GB2312"/>
          <w:color w:val="auto"/>
          <w:kern w:val="2"/>
          <w:sz w:val="28"/>
          <w:szCs w:val="28"/>
          <w:lang w:val="en-US" w:eastAsia="zh-CN" w:bidi="ar-SA"/>
        </w:rPr>
        <w:t>甲方以上述任一方式发出的通知均为合法有效的通知。</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三</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验收</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甲方通知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并由其指定</w:t>
      </w:r>
      <w:r>
        <w:rPr>
          <w:rFonts w:hint="eastAsia" w:ascii="仿宋_GB2312" w:hAnsi="仿宋_GB2312" w:eastAsia="仿宋_GB2312" w:cs="仿宋_GB2312"/>
          <w:color w:val="auto"/>
          <w:sz w:val="28"/>
          <w:szCs w:val="28"/>
          <w:highlight w:val="none"/>
        </w:rPr>
        <w:t>现场</w:t>
      </w:r>
      <w:r>
        <w:rPr>
          <w:rFonts w:hint="eastAsia" w:ascii="仿宋_GB2312" w:hAnsi="仿宋_GB2312" w:eastAsia="仿宋_GB2312" w:cs="仿宋_GB2312"/>
          <w:color w:val="auto"/>
          <w:sz w:val="28"/>
          <w:szCs w:val="28"/>
          <w:highlight w:val="none"/>
          <w:lang w:val="en-US" w:eastAsia="zh-CN"/>
        </w:rPr>
        <w:t>人员对货物进行签收。</w:t>
      </w:r>
      <w:r>
        <w:rPr>
          <w:rFonts w:hint="eastAsia" w:ascii="仿宋_GB2312" w:hAnsi="仿宋_GB2312" w:eastAsia="仿宋_GB2312" w:cs="仿宋_GB2312"/>
          <w:color w:val="auto"/>
          <w:sz w:val="28"/>
          <w:szCs w:val="28"/>
          <w:lang w:val="en-US" w:eastAsia="zh-CN"/>
        </w:rPr>
        <w:t>如果</w:t>
      </w:r>
      <w:r>
        <w:rPr>
          <w:rFonts w:hint="eastAsia" w:ascii="仿宋_GB2312" w:hAnsi="仿宋_GB2312" w:eastAsia="仿宋_GB2312" w:cs="仿宋_GB2312"/>
          <w:color w:val="auto"/>
          <w:sz w:val="28"/>
          <w:szCs w:val="28"/>
        </w:rPr>
        <w:t>现场签收</w:t>
      </w:r>
      <w:r>
        <w:rPr>
          <w:rFonts w:hint="eastAsia" w:ascii="仿宋_GB2312" w:hAnsi="仿宋_GB2312" w:eastAsia="仿宋_GB2312" w:cs="仿宋_GB2312"/>
          <w:color w:val="auto"/>
          <w:sz w:val="28"/>
          <w:szCs w:val="28"/>
          <w:lang w:val="en-US" w:eastAsia="zh-CN"/>
        </w:rPr>
        <w:t>人员发生变更，甲方会通知乙方重新指定。</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lang w:val="en-US" w:eastAsia="zh-CN"/>
        </w:rPr>
        <w:t>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对于货物的规格型号、数量、材质等与约定不符或有其他质量问题的,甲方异议期为货物签收后</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5</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日内，异议经核实乙方应无条件补足或换货。</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1.本合同产品机器质量保证期（以下简称质保期）为交工验收合格后</w:t>
      </w:r>
      <w:r>
        <w:rPr>
          <w:rFonts w:hint="eastAsia" w:ascii="仿宋_GB2312" w:hAnsi="仿宋_GB2312" w:eastAsia="仿宋_GB2312" w:cs="仿宋_GB2312"/>
          <w:color w:val="auto"/>
          <w:sz w:val="28"/>
          <w:szCs w:val="28"/>
          <w:highlight w:val="none"/>
          <w:u w:val="single"/>
          <w:lang w:val="en-US" w:eastAsia="zh-CN"/>
        </w:rPr>
        <w:t xml:space="preserve">  5 </w:t>
      </w:r>
      <w:r>
        <w:rPr>
          <w:rFonts w:hint="eastAsia" w:ascii="仿宋_GB2312" w:hAnsi="仿宋_GB2312" w:eastAsia="仿宋_GB2312" w:cs="仿宋_GB2312"/>
          <w:color w:val="auto"/>
          <w:sz w:val="28"/>
          <w:szCs w:val="28"/>
          <w:highlight w:val="none"/>
          <w:lang w:val="en-US" w:eastAsia="zh-CN"/>
        </w:rPr>
        <w:t>年，枪线质量保证期为交工验收合格后</w:t>
      </w:r>
      <w:r>
        <w:rPr>
          <w:rFonts w:hint="eastAsia" w:ascii="仿宋_GB2312" w:hAnsi="仿宋_GB2312" w:eastAsia="仿宋_GB2312" w:cs="仿宋_GB2312"/>
          <w:color w:val="auto"/>
          <w:sz w:val="28"/>
          <w:szCs w:val="28"/>
          <w:highlight w:val="none"/>
          <w:u w:val="single"/>
          <w:lang w:val="en-US" w:eastAsia="zh-CN"/>
        </w:rPr>
        <w:t xml:space="preserve"> 1 </w:t>
      </w:r>
      <w:r>
        <w:rPr>
          <w:rFonts w:hint="eastAsia" w:ascii="仿宋_GB2312" w:hAnsi="仿宋_GB2312" w:eastAsia="仿宋_GB2312" w:cs="仿宋_GB2312"/>
          <w:color w:val="auto"/>
          <w:sz w:val="28"/>
          <w:szCs w:val="28"/>
          <w:highlight w:val="none"/>
          <w:lang w:val="en-US" w:eastAsia="zh-CN"/>
        </w:rPr>
        <w:t>年，</w:t>
      </w:r>
      <w:r>
        <w:rPr>
          <w:rFonts w:hint="eastAsia" w:ascii="仿宋_GB2312" w:hAnsi="仿宋_GB2312" w:eastAsia="仿宋_GB2312" w:cs="仿宋_GB2312"/>
          <w:color w:val="auto"/>
          <w:sz w:val="28"/>
          <w:szCs w:val="28"/>
          <w:lang w:val="en-US" w:eastAsia="zh-CN"/>
        </w:rPr>
        <w:t>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2.质保期满后，若有零部件或货物出现故障，经鉴定属于寿命异常问题（明显短于该零部件或货物正常寿命）时，则由乙方负责免费更换维修。质保期满后，乙方以优惠价格向甲方提供所需的零配件或货物。</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3.乙方必须提供合同标的中所有产品的合格证、产品说明书。检测报告、第三方检测报告（如有）、随机附件、工具（如有），货到现场后交给现场的收货人员。</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4.合同标的中若有进口产品，则乙方必须提供原产地证明、单机产品序列号、原生产厂商质量保证书、报关单等证明材料。</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5.产品包装应符合国家标准。乙方应承担由于其包装或其防护措施不妥而引起货物锈蚀、损坏和丢失等任何损失的责任或费用。产品在卸货后剥离包装物同时负责回收或送到包装清理指定地点。</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五</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highlight w:val="none"/>
        </w:rPr>
        <w:t>价款结算及付款方式</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1.合同生效7日内预付30%，货到现场3个月内支付30%，货到现场6个月内支付40%。</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供货后15日内将所送货物的送货单(需为经甲方指定签收人签字确认的有效送货单)汇总后向甲方提交书面对账清单，经甲方确认后方可作为价款结算和付款依据。若因乙方迟延提交对账清单，因此造成的损失由乙方自行承担。</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4.乙方提供符合采购人财务要求的国家税务局13%增值税专用发票后办理结算，发票需要做到“三流一致”，也即“货物、劳务及应税服务流”、“资金流”、“发票流”必须都是同一受票方。</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4.甲方货款可采用电子转账等合理方式支付。</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CN"/>
        </w:rPr>
        <w:t xml:space="preserve">第六条  </w:t>
      </w:r>
      <w:r>
        <w:rPr>
          <w:rFonts w:hint="eastAsia" w:ascii="黑体" w:hAnsi="黑体" w:eastAsia="黑体" w:cs="黑体"/>
          <w:b w:val="0"/>
          <w:bCs/>
          <w:color w:val="auto"/>
          <w:sz w:val="28"/>
          <w:szCs w:val="28"/>
        </w:rPr>
        <w:t>违约责任</w:t>
      </w:r>
    </w:p>
    <w:p>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乙方若逾期交货，需支付甲方逾期交货部分价款每日5%的违约金，迟延交付超过3日的，甲方有权解除合同，或将乙方承担的一部分供货任务交由其他供货商供应；甲方解除合同的，乙方须向甲方支付合同总价款20%违约金，并应赔偿甲方由此造成的全部损失，同时承担甲方由此支付的诉讼费、律师费等实现债权的费用。交付货物没有通过甲方检验，造成交付迟延，按照上述条款承担违约责任。</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方交付的货物不符合约定标准，按合同总价款20%向甲方支付违约金。同时应在3日内履行更换义务，更由此换后的货物仍不符合原定质量要求的，甲方可解除合同。甲方解除合同的，乙方须向甲方支付合同总价款20%违约金，并应赔偿甲方造成的全部损失，同时承担甲方由此支付的诉讼费、律师费等实现债权的费用。</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3.乙方违反合同约定的其他自身义务时，给甲方造成损失的，甲方均有权解除合同，并有权要求乙方按上述第1、2项规定承担赔偿责任，支付违约金。</w:t>
      </w:r>
    </w:p>
    <w:p>
      <w:pPr>
        <w:keepNext w:val="0"/>
        <w:keepLines w:val="0"/>
        <w:pageBreakBefore w:val="0"/>
        <w:numPr>
          <w:ilvl w:val="0"/>
          <w:numId w:val="0"/>
        </w:numPr>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4.对于乙方因违反本合同约定需支付的违约金，甲方有权在应付货款中直接予以扣除。 </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七</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其他约定</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1.乙方送货车辆到甲方现场后，在行驶和卸货过程中，乙方驾驶人员应自行察看周围地形，乙方</w:t>
      </w:r>
      <w:r>
        <w:rPr>
          <w:rFonts w:hint="eastAsia" w:ascii="仿宋_GB2312" w:hAnsi="仿宋_GB2312" w:eastAsia="仿宋_GB2312" w:cs="仿宋_GB2312"/>
          <w:color w:val="auto"/>
          <w:sz w:val="28"/>
          <w:szCs w:val="28"/>
          <w:highlight w:val="none"/>
          <w:lang w:val="en-US" w:eastAsia="zh-CN"/>
        </w:rPr>
        <w:t>车辆在甲方现场若出现事故产生损失或造成对第三人侵权等其他情形，一切损失和责任均由乙方自行承担。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乙方必须保证甲方在使用乙方提供的货物时，不存在任何已知的不合法的情形，也不存在已知的与第三方专利权、著作权、商标权等相关的任何争议，如果有任何因甲方使用乙方提供的货物而提起的侵权指控，或供应假冒伪劣货物，乙方依法承担全部责任。</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八</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争议解决方式</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在履行合同期间发生纠份，先由双方协商解决，协商不成，双方约定向甲方所在地人民法院提起诉讼。</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color w:val="auto"/>
          <w:sz w:val="28"/>
          <w:szCs w:val="28"/>
          <w:lang w:val="en-US" w:eastAsia="zh-CN"/>
        </w:rPr>
        <w:t>第</w:t>
      </w:r>
      <w:r>
        <w:rPr>
          <w:rFonts w:hint="eastAsia" w:ascii="黑体" w:hAnsi="黑体" w:eastAsia="黑体" w:cs="黑体"/>
          <w:b w:val="0"/>
          <w:bCs/>
          <w:color w:val="auto"/>
          <w:sz w:val="28"/>
          <w:szCs w:val="28"/>
          <w:lang w:val="en-US" w:eastAsia="zh-CN"/>
        </w:rPr>
        <w:t>九条</w:t>
      </w:r>
    </w:p>
    <w:p>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1.本合同未尽事宜，由双方另行协商解决并签订补充协议。</w:t>
      </w:r>
    </w:p>
    <w:p>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2.本合同自甲乙双方签字盖章之日起生效。</w:t>
      </w:r>
    </w:p>
    <w:p>
      <w:pPr>
        <w:pStyle w:val="2"/>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3.本合同一式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lang w:val="en-US" w:eastAsia="zh-CN"/>
        </w:rPr>
        <w:t>份，甲方执</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 xml:space="preserve"> 份，乙方执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份。</w:t>
      </w:r>
    </w:p>
    <w:p>
      <w:pPr>
        <w:pStyle w:val="26"/>
        <w:rPr>
          <w:rFonts w:hint="eastAsia"/>
          <w:lang w:val="en-US" w:eastAsia="zh-CN"/>
        </w:rPr>
      </w:pP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附件：1.廉政合同</w:t>
      </w:r>
    </w:p>
    <w:p>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lang w:val="en-US" w:eastAsia="zh-CN"/>
        </w:rPr>
      </w:pPr>
      <w:r>
        <w:rPr>
          <w:rFonts w:hint="eastAsia" w:ascii="仿宋_GB2312" w:hAnsi="仿宋_GB2312" w:eastAsia="仿宋_GB2312" w:cs="仿宋_GB2312"/>
          <w:color w:val="auto"/>
          <w:sz w:val="28"/>
          <w:szCs w:val="28"/>
          <w:lang w:val="en-US" w:eastAsia="zh-CN"/>
        </w:rPr>
        <w:t>2.安全生产合同</w:t>
      </w:r>
    </w:p>
    <w:p>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3.报价清单</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（以下无正文）</w:t>
      </w:r>
    </w:p>
    <w:p>
      <w:pPr>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bidi w:val="0"/>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u w:val="none"/>
          <w:lang w:val="en-US" w:eastAsia="zh-CN"/>
        </w:rPr>
      </w:pP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u w:val="none"/>
          <w:lang w:val="en-US" w:eastAsia="zh-CN"/>
        </w:rPr>
        <w:t>安徽省经工物资有限公司</w:t>
      </w:r>
      <w:r>
        <w:rPr>
          <w:rFonts w:hint="eastAsia" w:ascii="仿宋_GB2312" w:hAnsi="仿宋_GB2312" w:eastAsia="仿宋_GB2312" w:cs="仿宋_GB2312"/>
          <w:color w:val="auto"/>
          <w:sz w:val="28"/>
          <w:szCs w:val="28"/>
          <w:lang w:val="en-US" w:eastAsia="zh-CN"/>
        </w:rPr>
        <w:t xml:space="preserve">        乙方：</w:t>
      </w:r>
      <w:r>
        <w:rPr>
          <w:rFonts w:hint="eastAsia" w:ascii="仿宋_GB2312" w:hAnsi="仿宋_GB2312" w:eastAsia="仿宋_GB2312" w:cs="仿宋_GB2312"/>
          <w:color w:val="auto"/>
          <w:sz w:val="28"/>
          <w:szCs w:val="28"/>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（盖章）                          （盖章）</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法定代表人或                        法定代表人或</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授权委托人（签字）：                授权委托人（签字）：</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纳税识别号：91340100MA2MY6GA6E      纳税识别号:</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地址：安徽省合肥市蜀山区甘泉路      地址：</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398号                               </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开户银行：工行合肥东陈岗支行        开户银行：</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账号：1302012119200034038           账号：</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年   月  日                         年   月   日</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br w:type="page"/>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bCs/>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bCs/>
          <w:color w:val="auto"/>
          <w:spacing w:val="0"/>
          <w:sz w:val="44"/>
          <w:szCs w:val="44"/>
          <w:lang w:val="en-US" w:eastAsia="zh-CN"/>
        </w:rPr>
      </w:pPr>
      <w:r>
        <w:rPr>
          <w:rFonts w:hint="eastAsia" w:ascii="方正小标宋简体" w:hAnsi="方正小标宋简体" w:eastAsia="方正小标宋简体" w:cs="方正小标宋简体"/>
          <w:b/>
          <w:bCs/>
          <w:color w:val="auto"/>
          <w:spacing w:val="0"/>
          <w:sz w:val="44"/>
          <w:szCs w:val="44"/>
          <w:lang w:val="en-US" w:eastAsia="zh-CN"/>
        </w:rPr>
        <w:t>廉 政 合 同</w:t>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b/>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为抓好物资设备等采购供应中的党风廉政建设，规范、约束采供双方行为，确保双方工作人员廉洁从业， </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color w:val="auto"/>
          <w:sz w:val="28"/>
          <w:szCs w:val="28"/>
          <w:lang w:val="en-US" w:eastAsia="zh-CN"/>
        </w:rPr>
        <w:t>的采购人</w:t>
      </w:r>
      <w:r>
        <w:rPr>
          <w:rFonts w:hint="eastAsia" w:ascii="仿宋_GB2312" w:hAnsi="仿宋_GB2312" w:eastAsia="仿宋_GB2312" w:cs="仿宋_GB2312"/>
          <w:color w:val="auto"/>
          <w:sz w:val="28"/>
          <w:szCs w:val="28"/>
          <w:u w:val="single"/>
          <w:lang w:val="en-US" w:eastAsia="zh-CN"/>
        </w:rPr>
        <w:t xml:space="preserve"> 安徽省经工物资有限公司</w:t>
      </w:r>
      <w:r>
        <w:rPr>
          <w:rFonts w:hint="eastAsia" w:ascii="仿宋_GB2312" w:hAnsi="仿宋_GB2312" w:eastAsia="仿宋_GB2312" w:cs="仿宋_GB2312"/>
          <w:color w:val="auto"/>
          <w:sz w:val="28"/>
          <w:szCs w:val="28"/>
          <w:lang w:val="en-US" w:eastAsia="zh-CN"/>
        </w:rPr>
        <w:t>（采购人名称，以下简称甲方）与该项目的供货商</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color w:val="auto"/>
          <w:sz w:val="28"/>
          <w:szCs w:val="28"/>
          <w:lang w:val="en-US" w:eastAsia="zh-CN"/>
        </w:rPr>
        <w:t>（供货商名称，以下简称乙方），特订立如下合同。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甲乙双方的权利和义务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严格遵守党</w:t>
      </w:r>
      <w:r>
        <w:rPr>
          <w:rFonts w:hint="eastAsia" w:ascii="仿宋_GB2312" w:hAnsi="仿宋_GB2312" w:eastAsia="仿宋_GB2312" w:cs="仿宋_GB2312"/>
          <w:color w:val="auto"/>
          <w:sz w:val="28"/>
          <w:szCs w:val="28"/>
          <w:lang w:val="en-US" w:eastAsia="zh-CN"/>
        </w:rPr>
        <w:t>的政策</w:t>
      </w:r>
      <w:r>
        <w:rPr>
          <w:rFonts w:hint="eastAsia" w:ascii="仿宋_GB2312" w:hAnsi="仿宋_GB2312" w:eastAsia="仿宋_GB2312" w:cs="仿宋_GB2312"/>
          <w:color w:val="auto"/>
          <w:sz w:val="28"/>
          <w:szCs w:val="28"/>
        </w:rPr>
        <w:t>和国家有关法律</w:t>
      </w:r>
      <w:r>
        <w:rPr>
          <w:rFonts w:hint="eastAsia" w:ascii="仿宋_GB2312" w:hAnsi="仿宋_GB2312" w:eastAsia="仿宋_GB2312" w:cs="仿宋_GB2312"/>
          <w:color w:val="auto"/>
          <w:sz w:val="28"/>
          <w:szCs w:val="28"/>
          <w:lang w:val="en-US" w:eastAsia="zh-CN"/>
        </w:rPr>
        <w:t>法规的</w:t>
      </w:r>
      <w:r>
        <w:rPr>
          <w:rFonts w:hint="eastAsia" w:ascii="仿宋_GB2312" w:hAnsi="仿宋_GB2312" w:eastAsia="仿宋_GB2312" w:cs="仿宋_GB2312"/>
          <w:color w:val="auto"/>
          <w:sz w:val="28"/>
          <w:szCs w:val="28"/>
        </w:rPr>
        <w:t>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严格执行</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合同文件</w:t>
      </w:r>
      <w:r>
        <w:rPr>
          <w:rFonts w:hint="eastAsia" w:ascii="仿宋_GB2312" w:hAnsi="仿宋_GB2312" w:eastAsia="仿宋_GB2312" w:cs="仿宋_GB2312"/>
          <w:color w:val="auto"/>
          <w:sz w:val="28"/>
          <w:szCs w:val="28"/>
          <w:u w:val="none"/>
          <w:lang w:val="en-US" w:eastAsia="zh-CN"/>
        </w:rPr>
        <w:t>名称</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合同文件</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rPr>
        <w:t>自觉按合同办事。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双方的业务活动坚持公开、公正、诚信、透明的原则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法律认定的商业秘密和合同文件另有规定除外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，不得损害国家和集体利益。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建立健全廉政制度，开展廉政教育和廉洁文化建设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公布举报电话，监督并认真查处</w:t>
      </w:r>
      <w:r>
        <w:rPr>
          <w:rFonts w:hint="eastAsia" w:ascii="仿宋_GB2312" w:hAnsi="仿宋_GB2312" w:eastAsia="仿宋_GB2312" w:cs="仿宋_GB2312"/>
          <w:color w:val="auto"/>
          <w:sz w:val="28"/>
          <w:szCs w:val="28"/>
          <w:lang w:val="en-US" w:eastAsia="zh-CN"/>
        </w:rPr>
        <w:t>违规</w:t>
      </w:r>
      <w:r>
        <w:rPr>
          <w:rFonts w:hint="eastAsia" w:ascii="仿宋_GB2312" w:hAnsi="仿宋_GB2312" w:eastAsia="仿宋_GB2312" w:cs="仿宋_GB2312"/>
          <w:color w:val="auto"/>
          <w:sz w:val="28"/>
          <w:szCs w:val="28"/>
        </w:rPr>
        <w:t>违纪违法行为。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发现对方严重违反本合同义务条款的行为，有向有关部门举报、建议给予处理并要求告知处理结果的权利。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（1）甲方及其工作人员不得利用职务之便索要或接受乙方的礼品、礼金、消费卡和有价证券、股权、其他金融产品等财物。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（2）甲方及其工作人员不得在利用职务之便为乙方谋取利益之前或之后，约定在其离职后收受乙方财物，并在离职后收受。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（3）甲方及其工作人员不得在乙方报销应由甲方或个人支付的费用等。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u w:val="none"/>
          <w:lang w:val="en-US" w:eastAsia="zh-CN"/>
        </w:rPr>
        <w:t>不得要求和接受乙方提供的交通工具、通讯工具、高档办公用品等。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（6）甲方及其工作人员不得要求乙方购买合同规定外的材料和设备。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（1）乙方及其工作人员不得以任何形式向甲方及其工作人员行贿或馈赠礼品、礼金、消费卡和有价证券、股权、其他金融产品等财物，以及回扣、好处费、感谢费等。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lang w:eastAsia="zh-CN"/>
        </w:rPr>
        <w:t>利用职务之便为乙方谋取利益，</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eastAsia="zh-CN"/>
        </w:rPr>
        <w:t>在其离职后</w:t>
      </w:r>
      <w:r>
        <w:rPr>
          <w:rFonts w:hint="eastAsia" w:ascii="仿宋_GB2312" w:hAnsi="仿宋_GB2312" w:eastAsia="仿宋_GB2312" w:cs="仿宋_GB2312"/>
          <w:color w:val="auto"/>
          <w:sz w:val="28"/>
          <w:szCs w:val="28"/>
          <w:lang w:val="en-US" w:eastAsia="zh-CN"/>
        </w:rPr>
        <w:t>给予</w:t>
      </w:r>
      <w:r>
        <w:rPr>
          <w:rFonts w:hint="eastAsia" w:ascii="仿宋_GB2312" w:hAnsi="仿宋_GB2312" w:eastAsia="仿宋_GB2312" w:cs="仿宋_GB2312"/>
          <w:color w:val="auto"/>
          <w:sz w:val="28"/>
          <w:szCs w:val="28"/>
          <w:lang w:eastAsia="zh-CN"/>
        </w:rPr>
        <w:t>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（3）乙方不得以任何名义为甲方及其工作人员报销由甲方单位或个人支付的任何费用。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u w:val="none"/>
          <w:lang w:val="en-US" w:eastAsia="zh-CN"/>
        </w:rPr>
        <w:t>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（5）乙方及其工作人员不得为甲方工作人员住房装修、婚丧嫁娶、出国出境、旅游等提供方便；不得为甲方工作人员的特定关系人以安排工作为名，使其不实际工作却获取薪酬。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4.违约责任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（1）甲方及其工作人员违反本合同第1、2条，按管理权限，依据有关规定给予党纪政务处分和组织处理；涉嫌犯罪的，移交司法机关追究刑事责任；给乙方单位造成经济损失的，应予以赔偿。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（2）乙方及其工作人员违反本合同第1、3条，按管理权限，依据有关规定，给予相关处理；给甲方单位造成经济损失的，应予以赔偿。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5.本合同有效期为甲乙双方签署之日起至该供货合同履行完毕后止。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6.本合同作为</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lang w:val="en-US" w:eastAsia="zh-CN"/>
        </w:rPr>
        <w:t>（合同文件名称）的附件，与采购合同具有同等的法律效力，经合同双方签署立即生效。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rPr>
        <w:t>7.本合同一式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lang w:val="en-US" w:eastAsia="zh-CN"/>
        </w:rPr>
        <w:t>份，甲方执</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甲方（盖章） ：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lang w:val="en-US" w:eastAsia="zh-CN"/>
        </w:rPr>
        <w:t>或</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法定代表或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年   月   日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甲方监督单位：（盖章）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乙方监督单位：（盖章）</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附件二：</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安全生产合同</w:t>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为在</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lang w:val="en-US" w:eastAsia="zh-CN"/>
        </w:rPr>
        <w:t>（项目名称）</w:t>
      </w:r>
      <w:r>
        <w:rPr>
          <w:rFonts w:hint="eastAsia" w:ascii="仿宋_GB2312" w:hAnsi="仿宋_GB2312" w:eastAsia="仿宋_GB2312" w:cs="仿宋_GB2312"/>
          <w:color w:val="auto"/>
          <w:sz w:val="28"/>
          <w:szCs w:val="28"/>
        </w:rPr>
        <w:t>的实施过程中创造安全、高效的施工环境，切实搞好本项目的安全管理工作，本项目</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u w:val="single"/>
          <w:lang w:val="en-US" w:eastAsia="zh-CN"/>
        </w:rPr>
        <w:t xml:space="preserve">安徽省经工物资有限公司 </w:t>
      </w:r>
      <w:r>
        <w:rPr>
          <w:rFonts w:hint="eastAsia" w:ascii="仿宋_GB2312" w:hAnsi="仿宋_GB2312" w:eastAsia="仿宋_GB2312" w:cs="仿宋_GB2312"/>
          <w:color w:val="auto"/>
          <w:sz w:val="28"/>
          <w:szCs w:val="28"/>
          <w:lang w:val="en-US" w:eastAsia="zh-CN"/>
        </w:rPr>
        <w:t>（采购人名称，以下简称甲方）与该项目的供货商</w:t>
      </w:r>
      <w:r>
        <w:rPr>
          <w:rFonts w:hint="eastAsia" w:ascii="仿宋_GB2312" w:hAnsi="仿宋_GB2312" w:eastAsia="仿宋_GB2312" w:cs="仿宋_GB2312"/>
          <w:sz w:val="28"/>
          <w:szCs w:val="28"/>
          <w:u w:val="single"/>
          <w:lang w:val="en-US" w:eastAsia="zh-CN"/>
        </w:rPr>
        <w:t>【供应商名称】</w:t>
      </w:r>
      <w:r>
        <w:rPr>
          <w:rFonts w:hint="eastAsia" w:ascii="仿宋_GB2312" w:hAnsi="仿宋_GB2312" w:eastAsia="仿宋_GB2312" w:cs="仿宋_GB2312"/>
          <w:color w:val="auto"/>
          <w:sz w:val="28"/>
          <w:szCs w:val="28"/>
          <w:lang w:val="en-US" w:eastAsia="zh-CN"/>
        </w:rPr>
        <w:t>（供货商名称，以下简称乙方）</w:t>
      </w:r>
      <w:r>
        <w:rPr>
          <w:rFonts w:hint="eastAsia" w:ascii="仿宋_GB2312" w:hAnsi="仿宋_GB2312" w:eastAsia="仿宋_GB2312" w:cs="仿宋_GB2312"/>
          <w:color w:val="auto"/>
          <w:sz w:val="28"/>
          <w:szCs w:val="28"/>
        </w:rPr>
        <w:t>特此签订</w:t>
      </w:r>
      <w:r>
        <w:rPr>
          <w:rFonts w:hint="eastAsia" w:ascii="仿宋_GB2312" w:hAnsi="仿宋_GB2312" w:eastAsia="仿宋_GB2312" w:cs="仿宋_GB2312"/>
          <w:color w:val="auto"/>
          <w:sz w:val="28"/>
          <w:szCs w:val="28"/>
          <w:lang w:val="en-US" w:eastAsia="zh-CN"/>
        </w:rPr>
        <w:t>此</w:t>
      </w:r>
      <w:r>
        <w:rPr>
          <w:rFonts w:hint="eastAsia" w:ascii="仿宋_GB2312" w:hAnsi="仿宋_GB2312" w:eastAsia="仿宋_GB2312" w:cs="仿宋_GB2312"/>
          <w:color w:val="auto"/>
          <w:sz w:val="28"/>
          <w:szCs w:val="28"/>
        </w:rPr>
        <w:t>安全生产合同：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为强化企业安全生产主体责任，加强道路运输安全管理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lang w:val="en-US" w:eastAsia="zh-CN"/>
        </w:rPr>
        <w:t>中华人民共和国民法典</w:t>
      </w:r>
      <w:r>
        <w:rPr>
          <w:rFonts w:hint="eastAsia" w:ascii="仿宋_GB2312" w:hAnsi="仿宋_GB2312" w:eastAsia="仿宋_GB2312" w:cs="仿宋_GB2312"/>
          <w:color w:val="auto"/>
          <w:sz w:val="28"/>
          <w:szCs w:val="28"/>
        </w:rPr>
        <w:t>》、《中华人民共和道路交通安全法》、《公路安全保护条例》、《中华人民共和国公路法》、《超限运输车辆行驶公路管理规定》及其他相关安全法律、行政法规和规章，在平等、自愿、公平和诚实信用的原则下，双方就材料供应、运输安全事项协商一致，双方达成如下协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一、本协议履行期限与双方签订的材料供应合同履行期限相同，</w:t>
      </w:r>
      <w:r>
        <w:rPr>
          <w:rFonts w:hint="eastAsia" w:ascii="仿宋_GB2312" w:hAnsi="仿宋_GB2312" w:eastAsia="仿宋_GB2312" w:cs="仿宋_GB2312"/>
          <w:color w:val="auto"/>
          <w:sz w:val="28"/>
          <w:szCs w:val="28"/>
          <w:highlight w:val="none"/>
        </w:rPr>
        <w:t>属材料供应合同的附件之一，具有与材料供应合同同等的法律效力。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三、在甲方运输区域，乙方运输车辆必须服从甲方的统一管理、调度和指挥，严格遵守交通规则，保证道路的畅通和运输安全，不得乱停、乱靠、乱装、乱卸，不得争道抢行，不得超速超载。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四、乙方对提供的运输车辆应当已取得国家道路运输的许可证，并确保车辆性能符合安全技术标准、防止带病上路运行，已依照国家法律政策规定购齐有关车辆保险。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lang w:val="en-US" w:eastAsia="zh-CN"/>
        </w:rPr>
        <w:t>或岗位证书</w:t>
      </w:r>
      <w:r>
        <w:rPr>
          <w:rFonts w:hint="eastAsia" w:ascii="仿宋_GB2312" w:hAnsi="仿宋_GB2312" w:eastAsia="仿宋_GB2312" w:cs="仿宋_GB2312"/>
          <w:color w:val="auto"/>
          <w:sz w:val="28"/>
          <w:szCs w:val="28"/>
        </w:rPr>
        <w:t>后，方准持证上岗。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操作人员上岗，必须按规定穿戴防护用品。施工负责人和安全</w:t>
      </w:r>
      <w:r>
        <w:rPr>
          <w:rFonts w:hint="eastAsia" w:ascii="仿宋_GB2312" w:hAnsi="仿宋_GB2312" w:eastAsia="仿宋_GB2312" w:cs="仿宋_GB2312"/>
          <w:color w:val="auto"/>
          <w:sz w:val="28"/>
          <w:szCs w:val="28"/>
          <w:lang w:val="en-US" w:eastAsia="zh-CN"/>
        </w:rPr>
        <w:t>管理人</w:t>
      </w:r>
      <w:r>
        <w:rPr>
          <w:rFonts w:hint="eastAsia" w:ascii="仿宋_GB2312" w:hAnsi="仿宋_GB2312" w:eastAsia="仿宋_GB2312" w:cs="仿宋_GB2312"/>
          <w:color w:val="auto"/>
          <w:sz w:val="28"/>
          <w:szCs w:val="28"/>
        </w:rPr>
        <w:t>员应随时检查劳动防护用品的穿戴情况，不按规定穿戴防护用品的人员不得上岗。</w:t>
      </w:r>
      <w:r>
        <w:rPr>
          <w:rFonts w:hint="eastAsia" w:ascii="仿宋_GB2312" w:hAnsi="仿宋_GB2312" w:eastAsia="仿宋_GB2312" w:cs="仿宋_GB2312"/>
          <w:color w:val="auto"/>
          <w:sz w:val="28"/>
          <w:szCs w:val="28"/>
          <w:lang w:val="en-US" w:eastAsia="zh-CN"/>
        </w:rPr>
        <w:t>在甲方区域，禁止出现无证操作、无证驾驶现象。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w:t>
      </w:r>
      <w:r>
        <w:rPr>
          <w:rFonts w:hint="eastAsia" w:ascii="仿宋_GB2312" w:hAnsi="仿宋_GB2312" w:eastAsia="仿宋_GB2312" w:cs="仿宋_GB2312"/>
          <w:color w:val="auto"/>
          <w:sz w:val="28"/>
          <w:szCs w:val="28"/>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严肃处理相关责任人。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货物</w:t>
      </w:r>
      <w:r>
        <w:rPr>
          <w:rFonts w:hint="eastAsia" w:ascii="仿宋_GB2312" w:hAnsi="仿宋_GB2312" w:eastAsia="仿宋_GB2312" w:cs="仿宋_GB2312"/>
          <w:color w:val="auto"/>
          <w:sz w:val="28"/>
          <w:szCs w:val="28"/>
          <w:highlight w:val="none"/>
        </w:rPr>
        <w:t>运输</w:t>
      </w:r>
      <w:r>
        <w:rPr>
          <w:rFonts w:hint="eastAsia" w:ascii="仿宋_GB2312" w:hAnsi="仿宋_GB2312" w:eastAsia="仿宋_GB2312" w:cs="仿宋_GB2312"/>
          <w:color w:val="auto"/>
          <w:sz w:val="28"/>
          <w:szCs w:val="28"/>
          <w:highlight w:val="none"/>
          <w:lang w:val="en-US" w:eastAsia="zh-CN"/>
        </w:rPr>
        <w:t>及安装</w:t>
      </w:r>
      <w:r>
        <w:rPr>
          <w:rFonts w:hint="eastAsia" w:ascii="仿宋_GB2312" w:hAnsi="仿宋_GB2312" w:eastAsia="仿宋_GB2312" w:cs="仿宋_GB2312"/>
          <w:color w:val="auto"/>
          <w:sz w:val="28"/>
          <w:szCs w:val="28"/>
          <w:highlight w:val="none"/>
        </w:rPr>
        <w:t>安全，如发生各类人身、财产事故，造成的一切损失均由乙方负责承担，甲方概不负责。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 xml:space="preserve">、争议的解决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在履行中如发生争议，双方应及时协商解决。协商不成的，任何一方均有权将</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争议事项向甲方公司注册所在地人民法院提起诉讼，通过法定程序解决。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、本协议</w:t>
      </w:r>
      <w:r>
        <w:rPr>
          <w:rFonts w:hint="eastAsia" w:ascii="仿宋_GB2312" w:hAnsi="仿宋_GB2312" w:eastAsia="仿宋_GB2312" w:cs="仿宋_GB2312"/>
          <w:color w:val="auto"/>
          <w:sz w:val="28"/>
          <w:szCs w:val="28"/>
          <w:lang w:val="en-US" w:eastAsia="zh-CN"/>
        </w:rPr>
        <w:t>壹</w:t>
      </w:r>
      <w:r>
        <w:rPr>
          <w:rFonts w:hint="eastAsia" w:ascii="仿宋_GB2312" w:hAnsi="仿宋_GB2312" w:eastAsia="仿宋_GB2312" w:cs="仿宋_GB2312"/>
          <w:color w:val="auto"/>
          <w:sz w:val="28"/>
          <w:szCs w:val="28"/>
        </w:rPr>
        <w:t>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rPr>
        <w:t>份，甲</w:t>
      </w:r>
      <w:r>
        <w:rPr>
          <w:rFonts w:hint="eastAsia" w:ascii="仿宋_GB2312" w:hAnsi="仿宋_GB2312" w:eastAsia="仿宋_GB2312" w:cs="仿宋_GB2312"/>
          <w:color w:val="auto"/>
          <w:sz w:val="28"/>
          <w:szCs w:val="28"/>
          <w:lang w:val="en-US" w:eastAsia="zh-CN"/>
        </w:rPr>
        <w:t xml:space="preserve">方执 </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w:t>
      </w:r>
      <w:r>
        <w:rPr>
          <w:rFonts w:hint="eastAsia" w:ascii="仿宋_GB2312" w:hAnsi="仿宋_GB2312" w:eastAsia="仿宋_GB2312" w:cs="仿宋_GB2312"/>
          <w:color w:val="auto"/>
          <w:sz w:val="28"/>
          <w:szCs w:val="28"/>
        </w:rPr>
        <w:t>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法定代表人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或授权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或授权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rPr>
      </w:pPr>
    </w:p>
    <w:p>
      <w:pPr>
        <w:pStyle w:val="19"/>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附件</w:t>
      </w:r>
      <w:r>
        <w:rPr>
          <w:rFonts w:hint="eastAsia" w:ascii="仿宋_GB2312" w:hAnsi="仿宋_GB2312" w:eastAsia="仿宋_GB2312" w:cs="仿宋_GB2312"/>
          <w:b/>
          <w:color w:val="auto"/>
          <w:sz w:val="28"/>
          <w:szCs w:val="28"/>
          <w:lang w:val="en-US" w:eastAsia="zh-CN"/>
        </w:rPr>
        <w:t>三</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val="en-US" w:eastAsia="zh-CN"/>
        </w:rPr>
        <w:t xml:space="preserve">                 </w:t>
      </w:r>
    </w:p>
    <w:p>
      <w:pPr>
        <w:pStyle w:val="19"/>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报价清单</w:t>
      </w:r>
    </w:p>
    <w:p>
      <w:pPr>
        <w:pStyle w:val="4"/>
        <w:numPr>
          <w:ilvl w:val="0"/>
          <w:numId w:val="0"/>
        </w:numPr>
        <w:spacing w:before="312" w:after="312"/>
        <w:ind w:leftChars="0"/>
        <w:jc w:val="center"/>
        <w:rPr>
          <w:rFonts w:hint="eastAsia" w:ascii="Times New Roman" w:hAnsi="Times New Roman" w:eastAsia="宋体" w:cs="Times New Roman"/>
          <w:lang w:val="en-US" w:eastAsia="zh-CN"/>
        </w:rPr>
      </w:pPr>
    </w:p>
    <w:p>
      <w:pPr>
        <w:rPr>
          <w:rFonts w:hint="eastAsia"/>
          <w:lang w:val="en-US" w:eastAsia="zh-CN"/>
        </w:rPr>
      </w:pPr>
    </w:p>
    <w:p>
      <w:pPr>
        <w:pStyle w:val="4"/>
        <w:numPr>
          <w:ilvl w:val="0"/>
          <w:numId w:val="0"/>
        </w:numPr>
        <w:spacing w:before="312" w:after="312"/>
        <w:ind w:leftChars="0"/>
        <w:jc w:val="center"/>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26"/>
        <w:rPr>
          <w:rFonts w:hint="eastAsia" w:ascii="Times New Roman" w:hAnsi="Times New Roman" w:eastAsia="宋体" w:cs="Times New Roman"/>
          <w:lang w:val="en-US" w:eastAsia="zh-CN"/>
        </w:rPr>
      </w:pPr>
    </w:p>
    <w:p>
      <w:pPr>
        <w:pStyle w:val="4"/>
        <w:numPr>
          <w:ilvl w:val="255"/>
          <w:numId w:val="0"/>
        </w:numPr>
        <w:spacing w:before="312" w:after="312"/>
        <w:ind w:left="402"/>
        <w:rPr>
          <w:rFonts w:ascii="Times New Roman" w:hAnsi="Times New Roman" w:eastAsia="宋体" w:cs="Times New Roman"/>
        </w:rPr>
      </w:pPr>
      <w:bookmarkStart w:id="61" w:name="_Toc8803"/>
      <w:r>
        <w:rPr>
          <w:rFonts w:hint="eastAsia" w:ascii="Times New Roman" w:hAnsi="Times New Roman" w:eastAsia="宋体" w:cs="Times New Roman"/>
          <w:lang w:val="en-US" w:eastAsia="zh-CN"/>
        </w:rPr>
        <w:t>第五章 供货要</w:t>
      </w:r>
      <w:r>
        <w:rPr>
          <w:rFonts w:ascii="Times New Roman" w:hAnsi="Times New Roman" w:eastAsia="宋体" w:cs="Times New Roman"/>
        </w:rPr>
        <w:t>求及清单</w:t>
      </w:r>
      <w:bookmarkEnd w:id="61"/>
    </w:p>
    <w:p>
      <w:pPr>
        <w:ind w:firstLine="640" w:firstLineChars="200"/>
        <w:jc w:val="center"/>
        <w:rPr>
          <w:rFonts w:hint="eastAsia" w:ascii="宋体" w:hAnsi="宋体"/>
          <w:b/>
          <w:bCs/>
          <w:sz w:val="32"/>
          <w:szCs w:val="32"/>
          <w:highlight w:val="none"/>
        </w:rPr>
      </w:pPr>
      <w:r>
        <w:rPr>
          <w:rFonts w:hint="eastAsia" w:ascii="宋体" w:hAnsi="宋体" w:cs="宋体"/>
          <w:b/>
          <w:bCs/>
          <w:sz w:val="32"/>
          <w:szCs w:val="32"/>
          <w:highlight w:val="none"/>
          <w:lang w:val="en-US" w:eastAsia="zh-CN"/>
        </w:rPr>
        <w:t>一、</w:t>
      </w:r>
      <w:r>
        <w:rPr>
          <w:rFonts w:hint="eastAsia" w:ascii="宋体" w:hAnsi="宋体" w:cs="宋体"/>
          <w:b/>
          <w:bCs/>
          <w:sz w:val="32"/>
          <w:szCs w:val="32"/>
          <w:highlight w:val="none"/>
        </w:rPr>
        <w:t>充电桩采购需求及技术要求</w:t>
      </w:r>
    </w:p>
    <w:p>
      <w:pPr>
        <w:widowControl/>
        <w:ind w:left="420"/>
        <w:rPr>
          <w:rFonts w:hint="eastAsia" w:ascii="宋体" w:hAnsi="宋体" w:cs="宋体"/>
          <w:b/>
          <w:bCs/>
          <w:szCs w:val="21"/>
          <w:highlight w:val="none"/>
        </w:rPr>
      </w:pPr>
      <w:bookmarkStart w:id="62" w:name="_Toc8999"/>
      <w:bookmarkStart w:id="63" w:name="_Toc2103"/>
      <w:r>
        <w:rPr>
          <w:rFonts w:hint="eastAsia" w:ascii="宋体" w:hAnsi="宋体" w:cs="宋体"/>
          <w:b/>
          <w:bCs/>
          <w:szCs w:val="21"/>
          <w:highlight w:val="none"/>
        </w:rPr>
        <w:t>（一）、项目概况及总体要求</w:t>
      </w:r>
      <w:bookmarkEnd w:id="62"/>
    </w:p>
    <w:p>
      <w:pPr>
        <w:ind w:firstLine="420"/>
        <w:rPr>
          <w:rFonts w:hint="eastAsia" w:ascii="宋体" w:hAnsi="宋体" w:cs="宋体"/>
          <w:spacing w:val="1"/>
          <w:szCs w:val="21"/>
          <w:highlight w:val="none"/>
        </w:rPr>
      </w:pPr>
      <w:r>
        <w:rPr>
          <w:rFonts w:hint="eastAsia" w:ascii="宋体" w:hAnsi="宋体" w:cs="宋体"/>
          <w:spacing w:val="1"/>
          <w:szCs w:val="21"/>
          <w:highlight w:val="none"/>
        </w:rPr>
        <w:t>招标范围：</w:t>
      </w:r>
    </w:p>
    <w:p>
      <w:pPr>
        <w:ind w:firstLine="420"/>
        <w:rPr>
          <w:rFonts w:hint="eastAsia" w:ascii="宋体" w:hAnsi="宋体" w:cs="宋体"/>
          <w:szCs w:val="21"/>
          <w:highlight w:val="none"/>
        </w:rPr>
      </w:pPr>
      <w:r>
        <w:rPr>
          <w:rFonts w:hint="eastAsia" w:ascii="宋体" w:hAnsi="宋体" w:cs="宋体"/>
          <w:spacing w:val="1"/>
          <w:szCs w:val="21"/>
          <w:highlight w:val="none"/>
        </w:rPr>
        <w:t>本项目为</w:t>
      </w:r>
      <w:r>
        <w:rPr>
          <w:rFonts w:hint="eastAsia" w:ascii="宋体" w:hAnsi="宋体" w:cs="宋体"/>
          <w:spacing w:val="1"/>
          <w:szCs w:val="21"/>
          <w:highlight w:val="none"/>
          <w:lang w:val="en-US" w:eastAsia="zh-CN"/>
        </w:rPr>
        <w:t>36</w:t>
      </w:r>
      <w:r>
        <w:rPr>
          <w:rFonts w:hint="eastAsia" w:ascii="宋体" w:hAnsi="宋体" w:cs="宋体"/>
          <w:spacing w:val="1"/>
          <w:szCs w:val="21"/>
          <w:highlight w:val="none"/>
        </w:rPr>
        <w:t>台120KW一机双枪直流充电桩及其配套设备的</w:t>
      </w:r>
      <w:bookmarkStart w:id="64" w:name="_bookmark149"/>
      <w:bookmarkEnd w:id="64"/>
      <w:bookmarkStart w:id="65" w:name="_Toc4574"/>
      <w:r>
        <w:rPr>
          <w:rFonts w:hint="eastAsia" w:ascii="宋体" w:hAnsi="宋体" w:cs="宋体"/>
          <w:szCs w:val="21"/>
          <w:highlight w:val="none"/>
        </w:rPr>
        <w:t>采购、指导安装及调试。</w:t>
      </w:r>
    </w:p>
    <w:p>
      <w:pPr>
        <w:ind w:firstLine="420"/>
        <w:rPr>
          <w:rFonts w:hint="eastAsia" w:ascii="宋体" w:hAnsi="宋体" w:cs="宋体"/>
          <w:spacing w:val="1"/>
          <w:szCs w:val="21"/>
          <w:highlight w:val="none"/>
        </w:rPr>
      </w:pPr>
      <w:r>
        <w:rPr>
          <w:rFonts w:hint="eastAsia" w:ascii="宋体" w:hAnsi="宋体" w:cs="宋体"/>
          <w:spacing w:val="1"/>
          <w:szCs w:val="21"/>
          <w:highlight w:val="none"/>
        </w:rPr>
        <w:t>交货期：自合同签订之日起，具体供货时间、采购型号及数量以采购方通知为准。</w:t>
      </w:r>
    </w:p>
    <w:p>
      <w:pPr>
        <w:ind w:firstLine="424" w:firstLineChars="200"/>
        <w:rPr>
          <w:rFonts w:hint="eastAsia" w:ascii="宋体" w:hAnsi="宋体" w:cs="宋体"/>
          <w:spacing w:val="1"/>
          <w:szCs w:val="21"/>
          <w:highlight w:val="none"/>
        </w:rPr>
      </w:pPr>
      <w:r>
        <w:rPr>
          <w:rFonts w:hint="eastAsia" w:ascii="宋体" w:hAnsi="宋体" w:cs="宋体"/>
          <w:spacing w:val="1"/>
          <w:szCs w:val="21"/>
          <w:highlight w:val="none"/>
        </w:rPr>
        <w:t>质量要求：合格。</w:t>
      </w:r>
    </w:p>
    <w:p>
      <w:pPr>
        <w:pStyle w:val="18"/>
        <w:spacing w:after="0"/>
        <w:ind w:firstLine="424" w:firstLineChars="200"/>
        <w:rPr>
          <w:rFonts w:hint="eastAsia" w:ascii="宋体" w:hAnsi="宋体" w:cs="宋体"/>
          <w:spacing w:val="1"/>
          <w:szCs w:val="21"/>
          <w:highlight w:val="none"/>
        </w:rPr>
      </w:pPr>
      <w:r>
        <w:rPr>
          <w:rFonts w:hint="eastAsia" w:ascii="宋体" w:hAnsi="宋体" w:cs="宋体"/>
          <w:spacing w:val="1"/>
          <w:szCs w:val="21"/>
          <w:highlight w:val="none"/>
        </w:rPr>
        <w:t>质保期限：</w:t>
      </w:r>
      <w:r>
        <w:rPr>
          <w:rFonts w:hint="eastAsia" w:ascii="宋体" w:hAnsi="宋体"/>
          <w:highlight w:val="none"/>
        </w:rPr>
        <w:t>直流桩质保5年，交流桩质保1年，枪线质保1年。</w:t>
      </w:r>
    </w:p>
    <w:bookmarkEnd w:id="65"/>
    <w:p>
      <w:pPr>
        <w:widowControl/>
        <w:numPr>
          <w:ilvl w:val="0"/>
          <w:numId w:val="4"/>
        </w:numPr>
        <w:ind w:left="420"/>
        <w:rPr>
          <w:rFonts w:hint="eastAsia" w:ascii="宋体" w:hAnsi="宋体" w:cs="宋体"/>
          <w:b/>
          <w:bCs/>
          <w:szCs w:val="21"/>
          <w:highlight w:val="none"/>
        </w:rPr>
      </w:pPr>
      <w:r>
        <w:rPr>
          <w:rFonts w:hint="eastAsia" w:ascii="宋体" w:hAnsi="宋体" w:cs="宋体"/>
          <w:b/>
          <w:bCs/>
          <w:szCs w:val="21"/>
          <w:highlight w:val="none"/>
        </w:rPr>
        <w:t>、120一机双枪直流充电桩技术要求</w:t>
      </w:r>
      <w:bookmarkEnd w:id="63"/>
      <w:bookmarkStart w:id="66" w:name="_Toc4087"/>
    </w:p>
    <w:p>
      <w:pPr>
        <w:widowControl/>
        <w:numPr>
          <w:ilvl w:val="0"/>
          <w:numId w:val="0"/>
        </w:numPr>
        <w:ind w:firstLine="420" w:firstLineChars="200"/>
        <w:rPr>
          <w:b/>
          <w:bCs/>
        </w:rPr>
      </w:pPr>
      <w:r>
        <w:rPr>
          <w:b/>
          <w:bCs/>
        </w:rPr>
        <w:t>1、标准和规范</w:t>
      </w:r>
      <w:bookmarkEnd w:id="66"/>
    </w:p>
    <w:p>
      <w:pPr>
        <w:ind w:firstLine="420"/>
        <w:rPr>
          <w:rFonts w:hint="eastAsia" w:ascii="宋体" w:hAnsi="宋体" w:cs="宋体"/>
          <w:spacing w:val="1"/>
          <w:szCs w:val="21"/>
        </w:rPr>
      </w:pPr>
      <w:r>
        <w:rPr>
          <w:rFonts w:hint="eastAsia" w:ascii="宋体" w:hAnsi="宋体" w:cs="宋体"/>
          <w:spacing w:val="1"/>
          <w:szCs w:val="21"/>
          <w:lang w:bidi="ar"/>
        </w:rPr>
        <w:t>本规范按有关标准、规范或准则、本规范附件规定的合同设备，包括投标方向其他厂商购买的所有辅件和设备，也应符合这些标准、规范或准则、本规范附件的要求。</w:t>
      </w:r>
    </w:p>
    <w:p>
      <w:pPr>
        <w:ind w:firstLine="420"/>
        <w:rPr>
          <w:rFonts w:hint="eastAsia" w:ascii="宋体" w:hAnsi="宋体" w:cs="宋体"/>
          <w:spacing w:val="1"/>
          <w:szCs w:val="21"/>
        </w:rPr>
      </w:pPr>
      <w:r>
        <w:rPr>
          <w:rFonts w:hint="eastAsia" w:ascii="宋体" w:hAnsi="宋体" w:cs="宋体"/>
          <w:spacing w:val="1"/>
          <w:szCs w:val="21"/>
          <w:lang w:bidi="ar"/>
        </w:rPr>
        <w:t>所列标准中的条款通过本规范的引用而成为本规范的条款。凡经修订的标准，其最新版本适用于本规范。</w:t>
      </w:r>
    </w:p>
    <w:p>
      <w:pPr>
        <w:ind w:firstLine="420"/>
        <w:rPr>
          <w:rFonts w:hint="eastAsia" w:ascii="宋体" w:hAnsi="宋体" w:cs="宋体"/>
          <w:spacing w:val="1"/>
          <w:szCs w:val="21"/>
        </w:rPr>
      </w:pPr>
      <w:r>
        <w:rPr>
          <w:rFonts w:hint="eastAsia" w:ascii="宋体" w:hAnsi="宋体" w:cs="宋体"/>
          <w:spacing w:val="1"/>
          <w:szCs w:val="21"/>
          <w:lang w:bidi="ar"/>
        </w:rPr>
        <w:t>投标方提供的设备和附件需要满足的主要标准：</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9"/>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55" w:type="pct"/>
            <w:noWrap w:val="0"/>
            <w:tcMar>
              <w:left w:w="0" w:type="dxa"/>
              <w:right w:w="0" w:type="dxa"/>
            </w:tcMar>
            <w:vAlign w:val="center"/>
          </w:tcPr>
          <w:p>
            <w:pPr>
              <w:pStyle w:val="17"/>
              <w:widowControl w:val="0"/>
              <w:overflowPunct w:val="0"/>
              <w:topLinePunct/>
              <w:snapToGrid w:val="0"/>
              <w:spacing w:before="0" w:beforeAutospacing="0" w:after="0" w:afterAutospacing="0" w:line="276" w:lineRule="auto"/>
              <w:jc w:val="center"/>
              <w:rPr>
                <w:b/>
              </w:rPr>
            </w:pPr>
            <w:r>
              <w:rPr>
                <w:b/>
                <w:kern w:val="2"/>
                <w:lang w:bidi="ar"/>
              </w:rPr>
              <w:t>标准号</w:t>
            </w:r>
          </w:p>
        </w:tc>
        <w:tc>
          <w:tcPr>
            <w:tcW w:w="3745" w:type="pct"/>
            <w:noWrap w:val="0"/>
            <w:tcMar>
              <w:left w:w="0" w:type="dxa"/>
              <w:right w:w="0" w:type="dxa"/>
            </w:tcMar>
            <w:vAlign w:val="center"/>
          </w:tcPr>
          <w:p>
            <w:pPr>
              <w:pStyle w:val="17"/>
              <w:widowControl w:val="0"/>
              <w:overflowPunct w:val="0"/>
              <w:topLinePunct/>
              <w:snapToGrid w:val="0"/>
              <w:spacing w:before="0" w:beforeAutospacing="0" w:after="0" w:afterAutospacing="0" w:line="276" w:lineRule="auto"/>
              <w:jc w:val="center"/>
              <w:rPr>
                <w:b/>
              </w:rPr>
            </w:pPr>
            <w:r>
              <w:rPr>
                <w:b/>
                <w:kern w:val="2"/>
                <w:lang w:bidi="ar"/>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2421.1-2008</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电工电子产品环境试验概述和指南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2423.1-2008</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电工电子产品环境试验　第2部分：试验方法　试验A：低温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2423.2-2008</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电工电子产品环境试验　第2部分：试验方法　试验B：高温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2423.4-2008</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电工电子产品环境试验　第2部分：试验方法　试验Db：交变湿热（12h+12h循环）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2423.17-2008</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电工电子产品环境试验 第2部分：试验方法 试验Ka：盐雾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2423.55-2006</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电工电子产品环境试验　第2部分：环境测试实验Eh：锤击试验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 4028-2008</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外壳防护等级（IP代码）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4797.5-2008</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电工电子产品自然环境条件降水和风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13384-2008</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机电产品包装通用技术条件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13422-2013</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半导体电力变流器 电气试验方法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 17625.1</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电磁兼容　限值　谐波电流发射限值（设备每相输入电流≤16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GB/Z 17625.6</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电磁兼容　限值　对额定电流大于16 A的设备在低压供电系统中产生的谐波电流的限制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17626.2-2006</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电磁兼容　试验和测量技术 静电放电抗扰度试验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17626.3-2006</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电磁兼容　试验和测量技术　射频电磁场辐射抗扰度试验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17626.4-2008</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电磁兼容　试验和测量技术　电快速瞬变脉冲群抗扰度试验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17626.5-2008</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电磁兼容　试验和测量技术　浪涌(冲击)抗扰度试验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17626.11-2008</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电磁兼容　试验和测量技术　电压暂降、短时中断和电压变化的抗扰度试验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19826-2005</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电力工程直流电源设备通用技术条件及安全要求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29317-2012</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电动汽车充换电设施术语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29318</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电动汽车非车载充电机电能计量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29316</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电动汽车充换电设施电能质量技术要求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Q/GDW 1825-2013</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直流电能表技术规范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JJG 842-1993</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直流电能表检定规程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29318-2012</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电动汽车非车载充电机电能计量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JJG1069-2011</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直流分流器检定规程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DL/T 645-2007</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多功能电能表通信协议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18487.1-2015</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电动车辆传导充电系统 第1部分：一般要求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 27930-2015</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电动汽车非车载传导式充电机与电池管理系统之间的通信协议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GB/T20234.1-2015</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电动汽车传导充电用连接装置 第1部分：通用要求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GB/T20234.2-2015</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电动汽车传导充电用连接装置 第2部分：交流充电接口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GB/T20234.3-2015</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电动汽车传导充电用连接装置 第3部分：直流充电接口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NB/T 33001-2018</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电动汽车非车载传导式充电机技术条件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 17467-2010</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《高压/低压预装式变电站》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DL/T 537-2002</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《高压/低压预装箱式变电站选用导则》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 3804-2004</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《3.6～40.5kV高压交流负荷开关》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 3906-2006</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《3.6～40.5kV交流金属封闭开关设备和控制设备》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GB/T156-2007</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《标准电压》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GB/T11022-2011</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《高压开关设备和控制设备标准的共用技术要求》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GB7251.1-2005</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《低压成套开关设备和控制设备》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GB/T13384－2008</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《机电产品包装通用技术条件》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GB/T5582-93</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《高压电力设备外绝缘污秽等级》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GB4208-2008</w:t>
            </w:r>
          </w:p>
        </w:tc>
        <w:tc>
          <w:tcPr>
            <w:tcW w:w="3745" w:type="pct"/>
            <w:noWrap w:val="0"/>
            <w:tcMar>
              <w:left w:w="0" w:type="dxa"/>
              <w:right w:w="0" w:type="dxa"/>
            </w:tcMar>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《外壳防护等级》</w:t>
            </w:r>
          </w:p>
        </w:tc>
      </w:tr>
    </w:tbl>
    <w:p>
      <w:pPr>
        <w:widowControl/>
        <w:numPr>
          <w:ilvl w:val="0"/>
          <w:numId w:val="0"/>
        </w:numPr>
        <w:ind w:firstLine="420" w:firstLineChars="200"/>
        <w:rPr>
          <w:b/>
          <w:bCs/>
        </w:rPr>
      </w:pPr>
      <w:bookmarkStart w:id="67" w:name="_Toc6150"/>
      <w:r>
        <w:rPr>
          <w:b/>
          <w:bCs/>
        </w:rPr>
        <w:t>2、技术要求</w:t>
      </w:r>
      <w:bookmarkEnd w:id="67"/>
    </w:p>
    <w:p>
      <w:pPr>
        <w:pStyle w:val="5"/>
        <w:widowControl/>
        <w:numPr>
          <w:ilvl w:val="0"/>
          <w:numId w:val="0"/>
        </w:numPr>
        <w:ind w:left="417" w:leftChars="0"/>
      </w:pPr>
      <w:r>
        <w:rPr>
          <w:rFonts w:asciiTheme="minorHAnsi" w:hAnsiTheme="minorHAnsi" w:eastAsiaTheme="minorEastAsia" w:cstheme="minorBidi"/>
          <w:b/>
          <w:bCs/>
          <w:kern w:val="2"/>
          <w:sz w:val="21"/>
          <w:szCs w:val="24"/>
          <w:lang w:val="en-US" w:eastAsia="zh-CN" w:bidi="ar-SA"/>
        </w:rPr>
        <w:t>2.1主要技术参数</w:t>
      </w:r>
    </w:p>
    <w:tbl>
      <w:tblPr>
        <w:tblStyle w:val="20"/>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9"/>
        <w:gridCol w:w="1159"/>
        <w:gridCol w:w="2333"/>
        <w:gridCol w:w="1332"/>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9" w:hRule="atLeast"/>
          <w:tblHeader/>
          <w:jc w:val="center"/>
        </w:trPr>
        <w:tc>
          <w:tcPr>
            <w:tcW w:w="547" w:type="pct"/>
            <w:noWrap w:val="0"/>
            <w:vAlign w:val="center"/>
          </w:tcPr>
          <w:p>
            <w:pPr>
              <w:pStyle w:val="17"/>
              <w:widowControl w:val="0"/>
              <w:topLinePunct/>
              <w:spacing w:before="0" w:beforeAutospacing="0" w:after="0" w:afterAutospacing="0" w:line="276" w:lineRule="auto"/>
              <w:jc w:val="center"/>
              <w:rPr>
                <w:b/>
              </w:rPr>
            </w:pPr>
            <w:r>
              <w:rPr>
                <w:b/>
                <w:kern w:val="2"/>
                <w:lang w:bidi="ar"/>
              </w:rPr>
              <w:t>序号</w:t>
            </w:r>
          </w:p>
        </w:tc>
        <w:tc>
          <w:tcPr>
            <w:tcW w:w="690" w:type="pct"/>
            <w:noWrap w:val="0"/>
            <w:vAlign w:val="center"/>
          </w:tcPr>
          <w:p>
            <w:pPr>
              <w:pStyle w:val="17"/>
              <w:widowControl w:val="0"/>
              <w:topLinePunct/>
              <w:spacing w:before="0" w:beforeAutospacing="0" w:after="0" w:afterAutospacing="0" w:line="276" w:lineRule="auto"/>
              <w:jc w:val="center"/>
              <w:rPr>
                <w:b/>
              </w:rPr>
            </w:pPr>
            <w:r>
              <w:rPr>
                <w:b/>
                <w:kern w:val="2"/>
                <w:lang w:bidi="ar"/>
              </w:rPr>
              <w:t>名称</w:t>
            </w:r>
          </w:p>
        </w:tc>
        <w:tc>
          <w:tcPr>
            <w:tcW w:w="1389" w:type="pct"/>
            <w:noWrap w:val="0"/>
            <w:vAlign w:val="center"/>
          </w:tcPr>
          <w:p>
            <w:pPr>
              <w:pStyle w:val="17"/>
              <w:widowControl w:val="0"/>
              <w:topLinePunct/>
              <w:spacing w:before="0" w:beforeAutospacing="0" w:after="0" w:afterAutospacing="0" w:line="276" w:lineRule="auto"/>
              <w:jc w:val="center"/>
              <w:rPr>
                <w:b/>
              </w:rPr>
            </w:pPr>
            <w:r>
              <w:rPr>
                <w:b/>
                <w:kern w:val="2"/>
                <w:lang w:bidi="ar"/>
              </w:rPr>
              <w:t>项      目</w:t>
            </w:r>
          </w:p>
        </w:tc>
        <w:tc>
          <w:tcPr>
            <w:tcW w:w="793" w:type="pct"/>
            <w:noWrap w:val="0"/>
            <w:vAlign w:val="center"/>
          </w:tcPr>
          <w:p>
            <w:pPr>
              <w:pStyle w:val="17"/>
              <w:widowControl w:val="0"/>
              <w:topLinePunct/>
              <w:spacing w:before="0" w:beforeAutospacing="0" w:after="0" w:afterAutospacing="0" w:line="276" w:lineRule="auto"/>
              <w:jc w:val="center"/>
              <w:rPr>
                <w:b/>
              </w:rPr>
            </w:pPr>
            <w:r>
              <w:rPr>
                <w:b/>
                <w:kern w:val="2"/>
                <w:lang w:bidi="ar"/>
              </w:rPr>
              <w:t>单位</w:t>
            </w:r>
          </w:p>
        </w:tc>
        <w:tc>
          <w:tcPr>
            <w:tcW w:w="1579" w:type="pct"/>
            <w:noWrap w:val="0"/>
            <w:vAlign w:val="center"/>
          </w:tcPr>
          <w:p>
            <w:pPr>
              <w:pStyle w:val="17"/>
              <w:widowControl w:val="0"/>
              <w:topLinePunct/>
              <w:spacing w:before="0" w:beforeAutospacing="0" w:after="0" w:afterAutospacing="0" w:line="276" w:lineRule="auto"/>
              <w:jc w:val="center"/>
            </w:pPr>
            <w:r>
              <w:rPr>
                <w:b/>
                <w:kern w:val="2"/>
                <w:lang w:bidi="ar"/>
              </w:rPr>
              <w:t>标准参数值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3"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1</w:t>
            </w:r>
          </w:p>
        </w:tc>
        <w:tc>
          <w:tcPr>
            <w:tcW w:w="690" w:type="pct"/>
            <w:vMerge w:val="restar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非车载直流充电机</w:t>
            </w: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交流输入电压</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V</w:t>
            </w: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三相： AC380V±15%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2"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2</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交流电源频率</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Hz</w:t>
            </w: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zh-CN" w:eastAsia="zh-CN" w:bidi="ar"/>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6"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3</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输入功率因数</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≥0.98（20%＜Po/Pn≤100%）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6"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4</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输入冲击电流</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w:t>
            </w: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≤110%额定输入电流峰值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9"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5</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输出电压范围</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V</w:t>
            </w: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DC 200～1000V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9"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6</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输出电压设定误差</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w:t>
            </w: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不超过±0.5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2"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eastAsia"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7</w:t>
            </w:r>
          </w:p>
        </w:tc>
        <w:tc>
          <w:tcPr>
            <w:tcW w:w="690" w:type="pct"/>
            <w:vMerge w:val="continue"/>
            <w:noWrap w:val="0"/>
            <w:vAlign w:val="center"/>
          </w:tcPr>
          <w:p>
            <w:pPr>
              <w:spacing w:line="276" w:lineRule="auto"/>
              <w:jc w:val="center"/>
              <w:rPr>
                <w:rFonts w:ascii="宋体" w:hAnsi="宋体"/>
                <w:szCs w:val="24"/>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输出电流设定误差</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pt-BR" w:eastAsia="zh-CN" w:bidi="ar"/>
              </w:rPr>
            </w:pPr>
            <w:r>
              <w:rPr>
                <w:rFonts w:hint="eastAsia" w:ascii="宋体" w:hAnsi="宋体" w:cs="宋体" w:eastAsiaTheme="minorEastAsia"/>
                <w:spacing w:val="1"/>
                <w:kern w:val="2"/>
                <w:sz w:val="21"/>
                <w:szCs w:val="21"/>
                <w:lang w:val="pt-BR" w:eastAsia="zh-CN" w:bidi="ar"/>
              </w:rPr>
              <w:t>≥30A：</w:t>
            </w:r>
            <w:r>
              <w:rPr>
                <w:rFonts w:hint="eastAsia" w:ascii="宋体" w:hAnsi="宋体" w:cs="宋体" w:eastAsiaTheme="minorEastAsia"/>
                <w:spacing w:val="1"/>
                <w:kern w:val="2"/>
                <w:sz w:val="21"/>
                <w:szCs w:val="21"/>
                <w:lang w:val="zh-CN" w:eastAsia="zh-CN" w:bidi="ar"/>
              </w:rPr>
              <w:t>不超过</w:t>
            </w:r>
            <w:r>
              <w:rPr>
                <w:rFonts w:hint="eastAsia" w:ascii="宋体" w:hAnsi="宋体" w:cs="宋体" w:eastAsiaTheme="minorEastAsia"/>
                <w:spacing w:val="1"/>
                <w:kern w:val="2"/>
                <w:sz w:val="21"/>
                <w:szCs w:val="21"/>
                <w:lang w:val="pt-BR" w:eastAsia="zh-CN" w:bidi="ar"/>
              </w:rPr>
              <w:t>±1%</w:t>
            </w:r>
          </w:p>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pt-BR" w:eastAsia="zh-CN" w:bidi="ar"/>
              </w:rPr>
              <w:t>＜30A：</w:t>
            </w:r>
            <w:r>
              <w:rPr>
                <w:rFonts w:hint="eastAsia" w:ascii="宋体" w:hAnsi="宋体" w:cs="宋体" w:eastAsiaTheme="minorEastAsia"/>
                <w:spacing w:val="1"/>
                <w:kern w:val="2"/>
                <w:sz w:val="21"/>
                <w:szCs w:val="21"/>
                <w:lang w:val="zh-CN" w:eastAsia="zh-CN" w:bidi="ar"/>
              </w:rPr>
              <w:t>不超过</w:t>
            </w:r>
            <w:r>
              <w:rPr>
                <w:rFonts w:hint="eastAsia" w:ascii="宋体" w:hAnsi="宋体" w:cs="宋体" w:eastAsiaTheme="minorEastAsia"/>
                <w:spacing w:val="1"/>
                <w:kern w:val="2"/>
                <w:sz w:val="21"/>
                <w:szCs w:val="21"/>
                <w:lang w:val="pt-BR" w:eastAsia="zh-CN" w:bidi="ar"/>
              </w:rPr>
              <w:t>±0.3A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2"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eastAsia"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8</w:t>
            </w:r>
          </w:p>
        </w:tc>
        <w:tc>
          <w:tcPr>
            <w:tcW w:w="690" w:type="pct"/>
            <w:vMerge w:val="continue"/>
            <w:noWrap w:val="0"/>
            <w:vAlign w:val="center"/>
          </w:tcPr>
          <w:p>
            <w:pPr>
              <w:spacing w:line="276" w:lineRule="auto"/>
              <w:jc w:val="center"/>
              <w:rPr>
                <w:rFonts w:ascii="宋体" w:hAnsi="宋体"/>
                <w:szCs w:val="24"/>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zh-CN" w:eastAsia="zh-CN" w:bidi="ar"/>
              </w:rPr>
              <w:t>稳压精度</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zh-CN" w:eastAsia="zh-CN" w:bidi="ar"/>
              </w:rPr>
              <w:t>%</w:t>
            </w: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pt-BR" w:eastAsia="zh-CN" w:bidi="ar"/>
              </w:rPr>
            </w:pPr>
            <w:r>
              <w:rPr>
                <w:rFonts w:hint="eastAsia" w:ascii="宋体" w:hAnsi="宋体" w:cs="宋体" w:eastAsiaTheme="minorEastAsia"/>
                <w:spacing w:val="1"/>
                <w:kern w:val="2"/>
                <w:sz w:val="21"/>
                <w:szCs w:val="21"/>
                <w:lang w:val="zh-CN" w:eastAsia="zh-CN" w:bidi="ar"/>
              </w:rPr>
              <w:t>不超过±0.5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2"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9</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zh-CN" w:eastAsia="zh-CN" w:bidi="ar"/>
              </w:rPr>
              <w:t>稳流精度</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zh-CN" w:eastAsia="zh-CN" w:bidi="ar"/>
              </w:rPr>
              <w:t>%</w:t>
            </w: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pt-BR" w:eastAsia="zh-CN" w:bidi="ar"/>
              </w:rPr>
            </w:pPr>
            <w:r>
              <w:rPr>
                <w:rFonts w:hint="eastAsia" w:ascii="宋体" w:hAnsi="宋体" w:cs="宋体" w:eastAsiaTheme="minorEastAsia"/>
                <w:spacing w:val="1"/>
                <w:kern w:val="2"/>
                <w:sz w:val="21"/>
                <w:szCs w:val="21"/>
                <w:lang w:val="zh-CN" w:eastAsia="zh-CN" w:bidi="ar"/>
              </w:rPr>
              <w:t>不超过±1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6"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10</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电压纹波因数</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w:t>
            </w: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zh-CN" w:eastAsia="zh-CN" w:bidi="ar"/>
              </w:rPr>
              <w:t>峰值：≤1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6"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11</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电流纹波</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A</w:t>
            </w: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f≤10Hz：≤1.5</w:t>
            </w:r>
          </w:p>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f≤5000Hz：≤6</w:t>
            </w:r>
          </w:p>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f≤150000Hz：≤9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6"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12</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输出电压测量误差</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V</w:t>
            </w: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不超过±5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6"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13</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输出电流测量误差</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A</w:t>
            </w: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不超过±（1.5%×实际输出电流+1）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9"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14</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待机功耗</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W</w:t>
            </w: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≤n×50</w:t>
            </w:r>
          </w:p>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注：n表示充电接口数量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9"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15</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highlight w:val="yellow"/>
                <w:lang w:val="en-US" w:eastAsia="zh-CN" w:bidi="ar"/>
              </w:rPr>
            </w:pPr>
            <w:r>
              <w:rPr>
                <w:rFonts w:hint="eastAsia" w:eastAsiaTheme="minorEastAsia"/>
                <w:spacing w:val="1"/>
                <w:kern w:val="2"/>
                <w:sz w:val="21"/>
                <w:szCs w:val="21"/>
                <w:highlight w:val="none"/>
                <w:lang w:bidi="ar"/>
              </w:rPr>
              <w:t>效率</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highlight w:val="yellow"/>
                <w:lang w:val="en-US" w:eastAsia="zh-CN" w:bidi="ar"/>
              </w:rPr>
            </w:pPr>
            <w:r>
              <w:rPr>
                <w:rFonts w:hint="eastAsia" w:eastAsiaTheme="minorEastAsia"/>
                <w:spacing w:val="1"/>
                <w:kern w:val="2"/>
                <w:sz w:val="21"/>
                <w:szCs w:val="21"/>
                <w:highlight w:val="none"/>
                <w:lang w:bidi="ar"/>
              </w:rPr>
              <w:t>%</w:t>
            </w:r>
          </w:p>
        </w:tc>
        <w:tc>
          <w:tcPr>
            <w:tcW w:w="1579" w:type="pct"/>
            <w:noWrap w:val="0"/>
            <w:vAlign w:val="center"/>
          </w:tcPr>
          <w:p>
            <w:pPr>
              <w:pStyle w:val="17"/>
              <w:widowControl w:val="0"/>
              <w:topLinePunct/>
              <w:spacing w:before="0" w:beforeAutospacing="0" w:after="0" w:afterAutospacing="0" w:line="276" w:lineRule="auto"/>
              <w:jc w:val="center"/>
              <w:rPr>
                <w:rFonts w:eastAsiaTheme="minorEastAsia"/>
                <w:spacing w:val="1"/>
                <w:kern w:val="2"/>
                <w:sz w:val="21"/>
                <w:szCs w:val="21"/>
                <w:highlight w:val="none"/>
                <w:lang w:bidi="ar"/>
              </w:rPr>
            </w:pPr>
            <w:r>
              <w:rPr>
                <w:rFonts w:hint="eastAsia" w:eastAsiaTheme="minorEastAsia"/>
                <w:spacing w:val="1"/>
                <w:kern w:val="2"/>
                <w:sz w:val="21"/>
                <w:szCs w:val="21"/>
                <w:highlight w:val="none"/>
                <w:lang w:bidi="ar"/>
              </w:rPr>
              <w:t>≥</w:t>
            </w:r>
            <w:r>
              <w:rPr>
                <w:rFonts w:eastAsiaTheme="minorEastAsia"/>
                <w:spacing w:val="1"/>
                <w:kern w:val="2"/>
                <w:sz w:val="21"/>
                <w:szCs w:val="21"/>
                <w:highlight w:val="none"/>
                <w:lang w:bidi="ar"/>
              </w:rPr>
              <w:t>89</w:t>
            </w:r>
            <w:r>
              <w:rPr>
                <w:rFonts w:hint="eastAsia" w:eastAsiaTheme="minorEastAsia"/>
                <w:spacing w:val="1"/>
                <w:kern w:val="2"/>
                <w:sz w:val="21"/>
                <w:szCs w:val="21"/>
                <w:highlight w:val="none"/>
                <w:lang w:bidi="ar"/>
              </w:rPr>
              <w:t>%（</w:t>
            </w:r>
            <w:r>
              <w:rPr>
                <w:rFonts w:eastAsiaTheme="minorEastAsia"/>
                <w:spacing w:val="1"/>
                <w:kern w:val="2"/>
                <w:sz w:val="21"/>
                <w:szCs w:val="21"/>
                <w:highlight w:val="none"/>
                <w:lang w:bidi="ar"/>
              </w:rPr>
              <w:t>2</w:t>
            </w:r>
            <w:r>
              <w:rPr>
                <w:rFonts w:hint="eastAsia" w:eastAsiaTheme="minorEastAsia"/>
                <w:spacing w:val="1"/>
                <w:kern w:val="2"/>
                <w:sz w:val="21"/>
                <w:szCs w:val="21"/>
                <w:highlight w:val="none"/>
                <w:lang w:bidi="ar"/>
              </w:rPr>
              <w:t>0%≤Po/Pn＜</w:t>
            </w:r>
            <w:r>
              <w:rPr>
                <w:rFonts w:eastAsiaTheme="minorEastAsia"/>
                <w:spacing w:val="1"/>
                <w:kern w:val="2"/>
                <w:sz w:val="21"/>
                <w:szCs w:val="21"/>
                <w:highlight w:val="none"/>
                <w:lang w:bidi="ar"/>
              </w:rPr>
              <w:t>5</w:t>
            </w:r>
            <w:r>
              <w:rPr>
                <w:rFonts w:hint="eastAsia" w:eastAsiaTheme="minorEastAsia"/>
                <w:spacing w:val="1"/>
                <w:kern w:val="2"/>
                <w:sz w:val="21"/>
                <w:szCs w:val="21"/>
                <w:highlight w:val="none"/>
                <w:lang w:bidi="ar"/>
              </w:rPr>
              <w:t>0%）</w:t>
            </w:r>
          </w:p>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highlight w:val="yellow"/>
                <w:lang w:val="en-US" w:eastAsia="zh-CN" w:bidi="ar"/>
              </w:rPr>
            </w:pPr>
            <w:r>
              <w:rPr>
                <w:rFonts w:hint="eastAsia" w:eastAsiaTheme="minorEastAsia"/>
                <w:spacing w:val="1"/>
                <w:kern w:val="2"/>
                <w:sz w:val="21"/>
                <w:szCs w:val="21"/>
                <w:highlight w:val="none"/>
                <w:lang w:bidi="ar"/>
              </w:rPr>
              <w:t>≥</w:t>
            </w:r>
            <w:r>
              <w:rPr>
                <w:rFonts w:eastAsiaTheme="minorEastAsia"/>
                <w:spacing w:val="1"/>
                <w:kern w:val="2"/>
                <w:sz w:val="21"/>
                <w:szCs w:val="21"/>
                <w:highlight w:val="none"/>
                <w:lang w:bidi="ar"/>
              </w:rPr>
              <w:t>93</w:t>
            </w:r>
            <w:r>
              <w:rPr>
                <w:rFonts w:hint="eastAsia" w:eastAsiaTheme="minorEastAsia"/>
                <w:spacing w:val="1"/>
                <w:kern w:val="2"/>
                <w:sz w:val="21"/>
                <w:szCs w:val="21"/>
                <w:highlight w:val="none"/>
                <w:lang w:bidi="ar"/>
              </w:rPr>
              <w:t>%（50%≤Po/Pn≤100%）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9"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16</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highlight w:val="yellow"/>
                <w:lang w:val="en-US" w:eastAsia="zh-CN" w:bidi="ar"/>
              </w:rPr>
            </w:pPr>
            <w:r>
              <w:rPr>
                <w:rFonts w:hint="eastAsia" w:eastAsiaTheme="minorEastAsia"/>
                <w:spacing w:val="1"/>
                <w:kern w:val="2"/>
                <w:sz w:val="21"/>
                <w:szCs w:val="21"/>
                <w:highlight w:val="none"/>
                <w:lang w:val="zh-CN" w:bidi="ar"/>
              </w:rPr>
              <w:t>噪声</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highlight w:val="yellow"/>
                <w:lang w:val="en-US" w:eastAsia="zh-CN" w:bidi="ar"/>
              </w:rPr>
            </w:pPr>
            <w:r>
              <w:rPr>
                <w:rFonts w:hint="eastAsia" w:eastAsiaTheme="minorEastAsia"/>
                <w:spacing w:val="1"/>
                <w:kern w:val="2"/>
                <w:sz w:val="21"/>
                <w:szCs w:val="21"/>
                <w:highlight w:val="none"/>
                <w:lang w:bidi="ar"/>
              </w:rPr>
              <w:t>dB</w:t>
            </w:r>
          </w:p>
        </w:tc>
        <w:tc>
          <w:tcPr>
            <w:tcW w:w="1579"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highlight w:val="yellow"/>
                <w:lang w:val="en-US" w:eastAsia="zh-CN" w:bidi="ar"/>
              </w:rPr>
            </w:pPr>
            <w:r>
              <w:rPr>
                <w:rFonts w:hint="eastAsia" w:eastAsiaTheme="minorEastAsia"/>
                <w:spacing w:val="1"/>
                <w:kern w:val="2"/>
                <w:sz w:val="21"/>
                <w:szCs w:val="21"/>
                <w:highlight w:val="none"/>
                <w:lang w:bidi="ar"/>
              </w:rPr>
              <w:t>符合NB</w:t>
            </w:r>
            <w:r>
              <w:rPr>
                <w:rFonts w:eastAsiaTheme="minorEastAsia"/>
                <w:spacing w:val="1"/>
                <w:kern w:val="2"/>
                <w:sz w:val="21"/>
                <w:szCs w:val="21"/>
                <w:highlight w:val="none"/>
                <w:lang w:bidi="ar"/>
              </w:rPr>
              <w:t>/</w:t>
            </w:r>
            <w:r>
              <w:rPr>
                <w:rFonts w:hint="eastAsia" w:eastAsiaTheme="minorEastAsia"/>
                <w:spacing w:val="1"/>
                <w:kern w:val="2"/>
                <w:sz w:val="21"/>
                <w:szCs w:val="21"/>
                <w:highlight w:val="none"/>
                <w:lang w:bidi="ar"/>
              </w:rPr>
              <w:t>T</w:t>
            </w:r>
            <w:r>
              <w:rPr>
                <w:rFonts w:eastAsiaTheme="minorEastAsia"/>
                <w:spacing w:val="1"/>
                <w:kern w:val="2"/>
                <w:sz w:val="21"/>
                <w:szCs w:val="21"/>
                <w:highlight w:val="none"/>
                <w:lang w:bidi="ar"/>
              </w:rPr>
              <w:t>33001-2018</w:t>
            </w:r>
            <w:r>
              <w:rPr>
                <w:rFonts w:hint="eastAsia" w:eastAsiaTheme="minorEastAsia"/>
                <w:spacing w:val="1"/>
                <w:kern w:val="2"/>
                <w:sz w:val="21"/>
                <w:szCs w:val="21"/>
                <w:highlight w:val="none"/>
                <w:lang w:bidi="ar"/>
              </w:rPr>
              <w:t>《电动汽车非车载传导式充电机技术条件》中噪声级别II级的要求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9"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17</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静电放电抗扰度</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9"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18</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射频电磁场辐射抗扰度</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9"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19</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电快速瞬变脉冲群抗扰度</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9"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20</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浪涌（冲击）抗扰度</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9"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21</w:t>
            </w:r>
          </w:p>
        </w:tc>
        <w:tc>
          <w:tcPr>
            <w:tcW w:w="690" w:type="pct"/>
            <w:vMerge w:val="continue"/>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zh-CN" w:eastAsia="zh-CN" w:bidi="ar"/>
              </w:rPr>
              <w:t>谐波电流限值要求（THD）</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zh-CN" w:eastAsia="zh-CN" w:bidi="ar"/>
              </w:rPr>
              <w:t>≤5%（A级设备）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9"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22</w:t>
            </w:r>
          </w:p>
        </w:tc>
        <w:tc>
          <w:tcPr>
            <w:tcW w:w="690"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绝缘电阻</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57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zh-CN" w:eastAsia="zh-CN" w:bidi="ar"/>
              </w:rPr>
            </w:pPr>
            <w:r>
              <w:rPr>
                <w:rFonts w:hint="eastAsia" w:ascii="宋体" w:hAnsi="宋体" w:cs="宋体" w:eastAsiaTheme="minorEastAsia"/>
                <w:spacing w:val="1"/>
                <w:kern w:val="2"/>
                <w:sz w:val="21"/>
                <w:szCs w:val="21"/>
                <w:lang w:val="en-US" w:eastAsia="zh-CN" w:bidi="ar"/>
              </w:rPr>
              <w:t>试验电压1000V,绝缘电阻应不小于10MΩ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9" w:hRule="atLeast"/>
          <w:jc w:val="center"/>
        </w:trPr>
        <w:tc>
          <w:tcPr>
            <w:tcW w:w="547"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cs="宋体" w:eastAsiaTheme="minorEastAsia"/>
                <w:spacing w:val="1"/>
                <w:kern w:val="2"/>
                <w:sz w:val="21"/>
                <w:szCs w:val="21"/>
                <w:lang w:val="en-US" w:eastAsia="zh-CN" w:bidi="ar"/>
              </w:rPr>
              <w:t>23</w:t>
            </w:r>
          </w:p>
        </w:tc>
        <w:tc>
          <w:tcPr>
            <w:tcW w:w="690"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389"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防护等级</w:t>
            </w:r>
          </w:p>
        </w:tc>
        <w:tc>
          <w:tcPr>
            <w:tcW w:w="793" w:type="pct"/>
            <w:noWrap w:val="0"/>
            <w:vAlign w:val="center"/>
          </w:tcPr>
          <w:p>
            <w:pPr>
              <w:pStyle w:val="17"/>
              <w:widowControl w:val="0"/>
              <w:topLinePunct/>
              <w:spacing w:before="0" w:beforeAutospacing="0" w:after="0" w:afterAutospacing="0" w:line="276" w:lineRule="auto"/>
              <w:jc w:val="center"/>
              <w:rPr>
                <w:rFonts w:hint="eastAsia" w:ascii="宋体" w:hAnsi="宋体" w:cs="宋体" w:eastAsiaTheme="minorEastAsia"/>
                <w:spacing w:val="1"/>
                <w:kern w:val="2"/>
                <w:sz w:val="21"/>
                <w:szCs w:val="21"/>
                <w:lang w:val="en-US" w:eastAsia="zh-CN" w:bidi="ar"/>
              </w:rPr>
            </w:pPr>
          </w:p>
        </w:tc>
        <w:tc>
          <w:tcPr>
            <w:tcW w:w="1579" w:type="pct"/>
            <w:noWrap w:val="0"/>
            <w:vAlign w:val="center"/>
          </w:tcPr>
          <w:p>
            <w:pPr>
              <w:pStyle w:val="17"/>
              <w:widowControl w:val="0"/>
              <w:topLinePunct/>
              <w:spacing w:before="0" w:beforeAutospacing="0" w:after="0" w:afterAutospacing="0" w:line="276" w:lineRule="auto"/>
              <w:jc w:val="center"/>
              <w:rPr>
                <w:rFonts w:hint="default" w:ascii="宋体" w:hAnsi="宋体" w:cs="宋体" w:eastAsiaTheme="minorEastAsia"/>
                <w:spacing w:val="1"/>
                <w:kern w:val="2"/>
                <w:sz w:val="21"/>
                <w:szCs w:val="21"/>
                <w:lang w:val="en-US" w:eastAsia="zh-CN" w:bidi="ar"/>
              </w:rPr>
            </w:pPr>
            <w:r>
              <w:rPr>
                <w:rFonts w:hint="eastAsia" w:ascii="宋体" w:hAnsi="宋体" w:cs="宋体" w:eastAsiaTheme="minorEastAsia"/>
                <w:spacing w:val="1"/>
                <w:kern w:val="2"/>
                <w:sz w:val="21"/>
                <w:szCs w:val="21"/>
                <w:lang w:val="en-US" w:eastAsia="zh-CN" w:bidi="ar"/>
              </w:rPr>
              <w:t>不小于IP54</w:t>
            </w:r>
          </w:p>
        </w:tc>
      </w:tr>
    </w:tbl>
    <w:p>
      <w:pPr>
        <w:rPr>
          <w:rFonts w:hint="eastAsia"/>
        </w:rPr>
        <w:sectPr>
          <w:footerReference r:id="rId12"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Times New Roman" w:hAnsi="Times New Roman" w:eastAsia="宋体" w:cs="Times New Roman"/>
          <w:b/>
          <w:bCs/>
          <w:sz w:val="32"/>
          <w:szCs w:val="32"/>
        </w:rPr>
      </w:pPr>
      <w:bookmarkStart w:id="68" w:name="_Toc18078_WPSOffice_Level2"/>
      <w:r>
        <w:rPr>
          <w:rFonts w:hint="eastAsia" w:ascii="Times New Roman" w:hAnsi="Times New Roman" w:eastAsia="宋体" w:cs="Times New Roman"/>
          <w:b/>
          <w:bCs/>
          <w:sz w:val="32"/>
          <w:szCs w:val="32"/>
          <w:lang w:val="en-US" w:eastAsia="zh-CN"/>
        </w:rPr>
        <w:t>二、</w:t>
      </w:r>
      <w:r>
        <w:rPr>
          <w:rFonts w:hint="eastAsia" w:ascii="Times New Roman" w:hAnsi="Times New Roman" w:eastAsia="宋体" w:cs="Times New Roman"/>
          <w:b/>
          <w:bCs/>
          <w:sz w:val="32"/>
          <w:szCs w:val="32"/>
        </w:rPr>
        <w:t>工程量清单</w:t>
      </w:r>
      <w:bookmarkEnd w:id="68"/>
    </w:p>
    <w:tbl>
      <w:tblPr>
        <w:tblStyle w:val="20"/>
        <w:tblW w:w="136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366"/>
        <w:gridCol w:w="6900"/>
        <w:gridCol w:w="919"/>
        <w:gridCol w:w="1012"/>
        <w:gridCol w:w="1557"/>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3621"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项目名称</w:t>
            </w:r>
          </w:p>
        </w:tc>
        <w:tc>
          <w:tcPr>
            <w:tcW w:w="6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项目特征描述</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计量单位</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工程量</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综合单价（元）</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庐江东服务区充电设备安装</w:t>
            </w:r>
          </w:p>
        </w:tc>
        <w:tc>
          <w:tcPr>
            <w:tcW w:w="6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1.1 环境条件：</w:t>
            </w:r>
            <w:r>
              <w:rPr>
                <w:rFonts w:hint="eastAsia" w:ascii="仿宋_GB2312" w:hAnsi="宋体" w:eastAsia="仿宋_GB2312" w:cs="仿宋_GB2312"/>
                <w:i w:val="0"/>
                <w:iCs w:val="0"/>
                <w:color w:val="000000"/>
                <w:kern w:val="0"/>
                <w:sz w:val="24"/>
                <w:szCs w:val="24"/>
                <w:u w:val="none"/>
                <w:lang w:val="en-US" w:eastAsia="zh-CN" w:bidi="ar"/>
              </w:rPr>
              <w:t xml:space="preserve">⑴ 工作环境温度：-20℃～+50℃；⑵ 相对湿度：5%～95%；⑶ 工作海拔：≤2000m。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1.2 参数要求：</w:t>
            </w:r>
            <w:r>
              <w:rPr>
                <w:rFonts w:hint="eastAsia" w:ascii="仿宋_GB2312" w:hAnsi="宋体" w:eastAsia="仿宋_GB2312" w:cs="仿宋_GB2312"/>
                <w:i w:val="0"/>
                <w:iCs w:val="0"/>
                <w:color w:val="000000"/>
                <w:kern w:val="0"/>
                <w:sz w:val="24"/>
                <w:szCs w:val="24"/>
                <w:u w:val="none"/>
                <w:lang w:val="en-US" w:eastAsia="zh-CN" w:bidi="ar"/>
              </w:rPr>
              <w:t>⑴ 额定输入电压：380V±15%；⑵ 最大输出电流:250A ；⑶ 频率：50Hz±2Hz；⑷ 线缆长度：5m；⑸ 噪音：≤65dB；⑹ 效率：≥93%；⑺ 功率等级：120kW；⑻ 通讯接口：4G/以太网。</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1.3 充电接口：</w:t>
            </w:r>
            <w:r>
              <w:rPr>
                <w:rFonts w:hint="eastAsia" w:ascii="仿宋_GB2312" w:hAnsi="宋体" w:eastAsia="仿宋_GB2312" w:cs="仿宋_GB2312"/>
                <w:i w:val="0"/>
                <w:iCs w:val="0"/>
                <w:color w:val="000000"/>
                <w:kern w:val="0"/>
                <w:sz w:val="24"/>
                <w:szCs w:val="24"/>
                <w:u w:val="none"/>
                <w:lang w:val="en-US" w:eastAsia="zh-CN" w:bidi="ar"/>
              </w:rPr>
              <w:t xml:space="preserve">⑴ 充电设备应提供标准通用充电接口，能满足所有车型接口配置需求；⑵ 充电插接口符合国家标准 GB/T 20234.2-2015 的要求；⑶ 充电接口应采用防尘、防水设计。⑷ 双口充电设备。⑸ 具备机械或电子防误拔功能。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岳西东服务区充电设备安装</w:t>
            </w:r>
          </w:p>
        </w:tc>
        <w:tc>
          <w:tcPr>
            <w:tcW w:w="6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b/>
                <w:bCs/>
                <w:i w:val="0"/>
                <w:iCs w:val="0"/>
                <w:color w:val="000000"/>
                <w:kern w:val="0"/>
                <w:sz w:val="24"/>
                <w:szCs w:val="24"/>
                <w:u w:val="none"/>
                <w:lang w:val="en-US" w:eastAsia="zh-CN" w:bidi="ar"/>
              </w:rPr>
              <w:t>1.1 环境条件：</w:t>
            </w:r>
            <w:r>
              <w:rPr>
                <w:rFonts w:hint="eastAsia" w:ascii="仿宋_GB2312" w:hAnsi="宋体" w:eastAsia="仿宋_GB2312" w:cs="仿宋_GB2312"/>
                <w:i w:val="0"/>
                <w:iCs w:val="0"/>
                <w:color w:val="000000"/>
                <w:kern w:val="0"/>
                <w:sz w:val="24"/>
                <w:szCs w:val="24"/>
                <w:u w:val="none"/>
                <w:lang w:val="en-US" w:eastAsia="zh-CN" w:bidi="ar"/>
              </w:rPr>
              <w:t xml:space="preserve">⑴ 工作环境温度：-20℃～+50℃；⑵ 相对湿度：5%～95%；⑶ 工作海拔：≤2000m。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1.2 参数要求：</w:t>
            </w:r>
            <w:r>
              <w:rPr>
                <w:rFonts w:hint="eastAsia" w:ascii="仿宋_GB2312" w:hAnsi="宋体" w:eastAsia="仿宋_GB2312" w:cs="仿宋_GB2312"/>
                <w:i w:val="0"/>
                <w:iCs w:val="0"/>
                <w:color w:val="000000"/>
                <w:kern w:val="0"/>
                <w:sz w:val="24"/>
                <w:szCs w:val="24"/>
                <w:u w:val="none"/>
                <w:lang w:val="en-US" w:eastAsia="zh-CN" w:bidi="ar"/>
              </w:rPr>
              <w:t>⑴ 额定输入电压：380V±15%；⑵ 最大输出电流:250A ；⑶ 频率：50Hz±2Hz；⑷ 线缆长度：5m；⑸ 噪音：≤65dB；⑹ 效率：≥93%；⑺ 功率等级：120kW；⑻ 通讯接口：4G/以太网。</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1.3 充电接口：</w:t>
            </w:r>
            <w:r>
              <w:rPr>
                <w:rFonts w:hint="eastAsia" w:ascii="仿宋_GB2312" w:hAnsi="宋体" w:eastAsia="仿宋_GB2312" w:cs="仿宋_GB2312"/>
                <w:i w:val="0"/>
                <w:iCs w:val="0"/>
                <w:color w:val="000000"/>
                <w:kern w:val="0"/>
                <w:sz w:val="24"/>
                <w:szCs w:val="24"/>
                <w:u w:val="none"/>
                <w:lang w:val="en-US" w:eastAsia="zh-CN" w:bidi="ar"/>
              </w:rPr>
              <w:t xml:space="preserve">⑴ 充电设备应提供标准通用充电接口，能满足所有车型接口配置需求；⑵ 充电插接口符合国家标准 GB/T 20234.2-2015 的要求；⑶ 充电接口应采用防尘、防水设计。⑷ 双口充电设备。⑸ 具备机械或电子防误拔功能。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2"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青草服务区充电设备安装</w:t>
            </w:r>
          </w:p>
        </w:tc>
        <w:tc>
          <w:tcPr>
            <w:tcW w:w="6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b/>
                <w:bCs/>
                <w:i w:val="0"/>
                <w:iCs w:val="0"/>
                <w:color w:val="000000"/>
                <w:kern w:val="0"/>
                <w:sz w:val="24"/>
                <w:szCs w:val="24"/>
                <w:u w:val="none"/>
                <w:lang w:val="en-US" w:eastAsia="zh-CN" w:bidi="ar"/>
              </w:rPr>
              <w:t>1.1 环境条件：</w:t>
            </w:r>
            <w:r>
              <w:rPr>
                <w:rFonts w:hint="eastAsia" w:ascii="仿宋_GB2312" w:hAnsi="宋体" w:eastAsia="仿宋_GB2312" w:cs="仿宋_GB2312"/>
                <w:i w:val="0"/>
                <w:iCs w:val="0"/>
                <w:color w:val="000000"/>
                <w:kern w:val="0"/>
                <w:sz w:val="24"/>
                <w:szCs w:val="24"/>
                <w:u w:val="none"/>
                <w:lang w:val="en-US" w:eastAsia="zh-CN" w:bidi="ar"/>
              </w:rPr>
              <w:t xml:space="preserve">⑴ 工作环境温度：-20℃～+50℃；⑵ 相对湿度：5%～95%；⑶ 工作海拔：≤2000m。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1.2 参数要求：</w:t>
            </w:r>
            <w:r>
              <w:rPr>
                <w:rFonts w:hint="eastAsia" w:ascii="仿宋_GB2312" w:hAnsi="宋体" w:eastAsia="仿宋_GB2312" w:cs="仿宋_GB2312"/>
                <w:i w:val="0"/>
                <w:iCs w:val="0"/>
                <w:color w:val="000000"/>
                <w:kern w:val="0"/>
                <w:sz w:val="24"/>
                <w:szCs w:val="24"/>
                <w:u w:val="none"/>
                <w:lang w:val="en-US" w:eastAsia="zh-CN" w:bidi="ar"/>
              </w:rPr>
              <w:t>⑴ 额定输入电压：380V±15%；⑵ 最大输出电流:250A ；⑶ 频率：50Hz±2Hz；⑷ 线缆长度：5m；⑸ 噪音：≤65dB；⑹ 效率：≥93%；⑺ 功率等级：120kW；⑻ 通讯接口：4G/以太网。</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1.3 充电接口：</w:t>
            </w:r>
            <w:r>
              <w:rPr>
                <w:rFonts w:hint="eastAsia" w:ascii="仿宋_GB2312" w:hAnsi="宋体" w:eastAsia="仿宋_GB2312" w:cs="仿宋_GB2312"/>
                <w:i w:val="0"/>
                <w:iCs w:val="0"/>
                <w:color w:val="000000"/>
                <w:kern w:val="0"/>
                <w:sz w:val="24"/>
                <w:szCs w:val="24"/>
                <w:u w:val="none"/>
                <w:lang w:val="en-US" w:eastAsia="zh-CN" w:bidi="ar"/>
              </w:rPr>
              <w:t xml:space="preserve">⑴ 充电设备应提供标准通用充电接口，能满足所有车型接口配置需求；⑵ 充电插接口符合国家标准 GB/T 20234.2-2015 的要求；⑶ 充电接口应采用防尘、防水设计。⑷ 双口充电设备。⑸ 具备机械或电子防误拔功能。 </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6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rPr>
          <w:rFonts w:ascii="Times New Roman" w:hAnsi="Times New Roman" w:cs="Times New Roman"/>
        </w:rPr>
      </w:pPr>
    </w:p>
    <w:p>
      <w:pPr>
        <w:rPr>
          <w:rFonts w:ascii="Times New Roman" w:hAnsi="Times New Roman" w:eastAsia="宋体" w:cs="Times New Roman"/>
        </w:rPr>
        <w:sectPr>
          <w:footnotePr>
            <w:numFmt w:val="decimalEnclosedCircleChinese"/>
          </w:footnotePr>
          <w:pgSz w:w="16838" w:h="11906" w:orient="landscape"/>
          <w:pgMar w:top="1797" w:right="1440" w:bottom="1797" w:left="1440" w:header="851" w:footer="992" w:gutter="0"/>
          <w:pgNumType w:fmt="decimal"/>
          <w:cols w:space="720" w:num="1"/>
          <w:docGrid w:type="linesAndChars" w:linePitch="312" w:charSpace="0"/>
        </w:sectPr>
      </w:pPr>
      <w:r>
        <w:rPr>
          <w:rFonts w:ascii="Times New Roman" w:hAnsi="Times New Roman" w:eastAsia="宋体" w:cs="Times New Roman"/>
        </w:rPr>
        <w:br w:type="page"/>
      </w:r>
    </w:p>
    <w:p>
      <w:pPr>
        <w:pStyle w:val="2"/>
      </w:pPr>
    </w:p>
    <w:p>
      <w:pPr>
        <w:pStyle w:val="4"/>
        <w:numPr>
          <w:ilvl w:val="255"/>
          <w:numId w:val="0"/>
        </w:numPr>
        <w:spacing w:before="312" w:after="312"/>
        <w:ind w:left="402"/>
        <w:rPr>
          <w:rFonts w:hint="eastAsia" w:ascii="Times New Roman" w:hAnsi="Times New Roman" w:eastAsia="宋体" w:cs="Times New Roman"/>
        </w:rPr>
      </w:pPr>
      <w:bookmarkStart w:id="69" w:name="_Toc15893"/>
      <w:r>
        <w:rPr>
          <w:rFonts w:hint="eastAsia" w:ascii="Times New Roman" w:hAnsi="Times New Roman" w:eastAsia="宋体" w:cs="Times New Roman"/>
          <w:lang w:val="en-US" w:eastAsia="zh-CN"/>
        </w:rPr>
        <w:t xml:space="preserve">第六章 </w:t>
      </w:r>
      <w:r>
        <w:rPr>
          <w:rFonts w:hint="eastAsia" w:ascii="Times New Roman" w:hAnsi="Times New Roman" w:eastAsia="宋体" w:cs="Times New Roman"/>
        </w:rPr>
        <w:t>响应文件格式</w:t>
      </w:r>
      <w:bookmarkEnd w:id="69"/>
    </w:p>
    <w:p>
      <w:pPr>
        <w:jc w:val="left"/>
        <w:rPr>
          <w:rFonts w:ascii="Times New Roman" w:hAnsi="Times New Roman" w:eastAsia="宋体" w:cs="Times New Roman"/>
        </w:rPr>
      </w:pPr>
      <w:r>
        <w:rPr>
          <w:rFonts w:ascii="Times New Roman" w:hAnsi="Times New Roman" w:eastAsia="宋体" w:cs="Times New Roman"/>
        </w:rPr>
        <w:br w:type="page"/>
      </w:r>
    </w:p>
    <w:p>
      <w:pPr>
        <w:spacing w:line="440" w:lineRule="exact"/>
        <w:jc w:val="center"/>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r>
        <w:rPr>
          <w:rFonts w:ascii="Times New Roman" w:hAnsi="Times New Roman" w:eastAsia="黑体" w:cs="Times New Roman"/>
          <w:sz w:val="36"/>
          <w:szCs w:val="36"/>
        </w:rPr>
        <w:t>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70" w:name="_Toc1914_WPSOffice_Level1"/>
      <w:bookmarkStart w:id="71" w:name="_Toc17394_WPSOffice_Level1"/>
      <w:bookmarkStart w:id="72" w:name="_Toc29687_WPSOffice_Level1"/>
      <w:bookmarkStart w:id="73" w:name="_Toc10484_WPSOffice_Level1"/>
      <w:bookmarkStart w:id="74" w:name="_Toc32044_WPSOffice_Level1"/>
      <w:r>
        <w:rPr>
          <w:rFonts w:ascii="Times New Roman" w:hAnsi="Times New Roman" w:eastAsia="黑体" w:cs="Times New Roman"/>
          <w:sz w:val="50"/>
          <w:szCs w:val="50"/>
        </w:rPr>
        <w:t>响  应  文  件</w:t>
      </w:r>
      <w:bookmarkEnd w:id="70"/>
      <w:bookmarkEnd w:id="71"/>
      <w:bookmarkEnd w:id="72"/>
      <w:bookmarkEnd w:id="73"/>
      <w:bookmarkEnd w:id="74"/>
    </w:p>
    <w:p>
      <w:pPr>
        <w:pStyle w:val="19"/>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（商务技术文件）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75" w:name="_Toc25232_WPSOffice_Level2"/>
      <w:bookmarkStart w:id="76" w:name="_Toc5520_WPSOffice_Level2"/>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w:t>
      </w:r>
      <w:bookmarkEnd w:id="75"/>
      <w:bookmarkEnd w:id="76"/>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bookmarkStart w:id="77" w:name="_Toc31577_WPSOffice_Level2"/>
      <w:bookmarkStart w:id="78"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77"/>
      <w:bookmarkEnd w:id="78"/>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79" w:name="_Toc22351_WPSOffice_Level2"/>
      <w:bookmarkStart w:id="80" w:name="_Toc21974_WPSOffice_Level2"/>
      <w:r>
        <w:rPr>
          <w:rFonts w:ascii="Times New Roman" w:hAnsi="Times New Roman" w:eastAsia="黑体" w:cs="Times New Roman"/>
          <w:sz w:val="28"/>
          <w:szCs w:val="28"/>
        </w:rPr>
        <w:t>目     录</w:t>
      </w:r>
      <w:bookmarkEnd w:id="79"/>
      <w:bookmarkEnd w:id="80"/>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81" w:name="_Toc30529_WPSOffice_Level1"/>
      <w:bookmarkStart w:id="82" w:name="_Toc23368_WPSOffice_Level1"/>
      <w:bookmarkStart w:id="83" w:name="_Toc6353_WPSOffice_Level1"/>
      <w:bookmarkStart w:id="84" w:name="_Toc5842_WPSOffice_Level1"/>
      <w:bookmarkStart w:id="85" w:name="_Toc11424_WPSOffice_Level1"/>
      <w:bookmarkStart w:id="86" w:name="_Toc12670_WPSOffice_Level1"/>
      <w:r>
        <w:rPr>
          <w:rFonts w:ascii="Times New Roman" w:hAnsi="Times New Roman" w:eastAsia="黑体" w:cs="Times New Roman"/>
          <w:sz w:val="24"/>
        </w:rPr>
        <w:t>一、</w:t>
      </w:r>
      <w:r>
        <w:rPr>
          <w:rFonts w:hint="eastAsia" w:ascii="Times New Roman" w:hAnsi="Times New Roman" w:eastAsia="黑体" w:cs="Times New Roman"/>
          <w:sz w:val="24"/>
          <w:lang w:val="en-US" w:eastAsia="zh-CN"/>
        </w:rPr>
        <w:t>响应</w:t>
      </w:r>
      <w:r>
        <w:rPr>
          <w:rFonts w:ascii="Times New Roman" w:hAnsi="Times New Roman" w:eastAsia="黑体" w:cs="Times New Roman"/>
          <w:sz w:val="24"/>
        </w:rPr>
        <w:t>函</w:t>
      </w:r>
      <w:bookmarkEnd w:id="81"/>
      <w:bookmarkEnd w:id="82"/>
      <w:bookmarkEnd w:id="83"/>
      <w:bookmarkEnd w:id="84"/>
      <w:bookmarkEnd w:id="85"/>
    </w:p>
    <w:p>
      <w:pPr>
        <w:spacing w:line="440" w:lineRule="exact"/>
        <w:ind w:left="1619" w:leftChars="771"/>
        <w:rPr>
          <w:rFonts w:ascii="Times New Roman" w:hAnsi="Times New Roman" w:eastAsia="黑体" w:cs="Times New Roman"/>
          <w:sz w:val="24"/>
        </w:rPr>
      </w:pPr>
      <w:bookmarkStart w:id="87" w:name="_Toc31927_WPSOffice_Level1"/>
      <w:bookmarkStart w:id="88" w:name="_Toc21229_WPSOffice_Level1"/>
      <w:bookmarkStart w:id="89" w:name="_Toc5317_WPSOffice_Level1"/>
      <w:bookmarkStart w:id="90" w:name="_Toc32729_WPSOffice_Level1"/>
      <w:bookmarkStart w:id="91" w:name="_Toc30428_WPSOffice_Level1"/>
      <w:r>
        <w:rPr>
          <w:rFonts w:ascii="Times New Roman" w:hAnsi="Times New Roman" w:eastAsia="黑体" w:cs="Times New Roman"/>
          <w:sz w:val="24"/>
        </w:rPr>
        <w:t>二、法定代表人身份证明及授权委托书</w:t>
      </w:r>
      <w:bookmarkEnd w:id="87"/>
      <w:bookmarkEnd w:id="88"/>
      <w:bookmarkEnd w:id="89"/>
      <w:bookmarkEnd w:id="90"/>
      <w:bookmarkEnd w:id="91"/>
    </w:p>
    <w:p>
      <w:pPr>
        <w:spacing w:line="440" w:lineRule="exact"/>
        <w:ind w:left="1619" w:leftChars="771"/>
        <w:rPr>
          <w:rFonts w:ascii="Times New Roman" w:hAnsi="Times New Roman" w:eastAsia="黑体" w:cs="Times New Roman"/>
          <w:sz w:val="24"/>
        </w:rPr>
      </w:pPr>
      <w:bookmarkStart w:id="92" w:name="_Toc21853_WPSOffice_Level1"/>
      <w:bookmarkStart w:id="93" w:name="_Toc29085_WPSOffice_Level1"/>
      <w:bookmarkStart w:id="94" w:name="_Toc25965_WPSOffice_Level1"/>
      <w:bookmarkStart w:id="95" w:name="_Toc23356_WPSOffice_Level1"/>
      <w:bookmarkStart w:id="96" w:name="_Toc4728_WPSOffice_Level1"/>
      <w:r>
        <w:rPr>
          <w:rFonts w:hint="eastAsia" w:ascii="Times New Roman" w:hAnsi="Times New Roman" w:eastAsia="黑体" w:cs="Times New Roman"/>
          <w:sz w:val="24"/>
        </w:rPr>
        <w:t>三</w:t>
      </w:r>
      <w:r>
        <w:rPr>
          <w:rFonts w:ascii="Times New Roman" w:hAnsi="Times New Roman" w:eastAsia="黑体" w:cs="Times New Roman"/>
          <w:sz w:val="24"/>
        </w:rPr>
        <w:t>、</w:t>
      </w:r>
      <w:r>
        <w:rPr>
          <w:rFonts w:hint="eastAsia" w:ascii="Times New Roman" w:hAnsi="Times New Roman" w:eastAsia="黑体" w:cs="Times New Roman"/>
          <w:sz w:val="24"/>
        </w:rPr>
        <w:t>供应商基本情况</w:t>
      </w:r>
    </w:p>
    <w:bookmarkEnd w:id="92"/>
    <w:bookmarkEnd w:id="93"/>
    <w:bookmarkEnd w:id="94"/>
    <w:bookmarkEnd w:id="95"/>
    <w:bookmarkEnd w:id="96"/>
    <w:p>
      <w:pPr>
        <w:spacing w:line="440" w:lineRule="exact"/>
        <w:ind w:left="1619" w:leftChars="771"/>
        <w:rPr>
          <w:rFonts w:hint="eastAsia" w:ascii="Times New Roman" w:hAnsi="Times New Roman" w:eastAsia="黑体" w:cs="Times New Roman"/>
          <w:sz w:val="24"/>
        </w:rPr>
      </w:pPr>
      <w:bookmarkStart w:id="97" w:name="_Toc10608_WPSOffice_Level1"/>
      <w:bookmarkStart w:id="98" w:name="_Toc7453_WPSOffice_Level1"/>
      <w:bookmarkStart w:id="99" w:name="_Toc23744_WPSOffice_Level1"/>
      <w:bookmarkStart w:id="100" w:name="_Toc29870_WPSOffice_Level1"/>
      <w:bookmarkStart w:id="101" w:name="_Toc1896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97"/>
      <w:bookmarkEnd w:id="98"/>
      <w:bookmarkEnd w:id="99"/>
      <w:bookmarkEnd w:id="100"/>
      <w:bookmarkEnd w:id="101"/>
      <w:bookmarkStart w:id="102" w:name="_Toc24262_WPSOffice_Level1"/>
      <w:bookmarkStart w:id="103" w:name="_Toc12459_WPSOffice_Level1"/>
      <w:r>
        <w:rPr>
          <w:rFonts w:hint="eastAsia" w:ascii="Times New Roman" w:hAnsi="Times New Roman" w:eastAsia="黑体" w:cs="Times New Roman"/>
          <w:sz w:val="24"/>
        </w:rPr>
        <w:t>近年类似业绩情况</w:t>
      </w:r>
    </w:p>
    <w:p>
      <w:pPr>
        <w:spacing w:line="440" w:lineRule="exact"/>
        <w:ind w:left="1619" w:leftChars="771"/>
        <w:rPr>
          <w:rFonts w:hint="eastAsia" w:ascii="Times New Roman" w:hAnsi="Times New Roman" w:eastAsia="黑体" w:cs="Times New Roman"/>
          <w:sz w:val="24"/>
        </w:rPr>
      </w:pPr>
      <w:r>
        <w:rPr>
          <w:rFonts w:hint="eastAsia" w:ascii="Times New Roman" w:hAnsi="Times New Roman" w:eastAsia="黑体" w:cs="Times New Roman"/>
          <w:sz w:val="24"/>
          <w:lang w:val="en-US" w:eastAsia="zh-CN"/>
        </w:rPr>
        <w:t>五</w:t>
      </w:r>
      <w:r>
        <w:rPr>
          <w:rFonts w:ascii="Times New Roman" w:hAnsi="Times New Roman" w:eastAsia="黑体" w:cs="Times New Roman"/>
          <w:sz w:val="24"/>
        </w:rPr>
        <w:t>、</w:t>
      </w:r>
      <w:r>
        <w:rPr>
          <w:rFonts w:hint="eastAsia" w:ascii="Times New Roman" w:hAnsi="Times New Roman" w:eastAsia="黑体" w:cs="Times New Roman"/>
          <w:sz w:val="24"/>
        </w:rPr>
        <w:t>信誉情况</w:t>
      </w:r>
    </w:p>
    <w:p>
      <w:pPr>
        <w:spacing w:line="440" w:lineRule="exact"/>
        <w:ind w:left="1619" w:leftChars="771"/>
        <w:rPr>
          <w:rFonts w:hint="eastAsia" w:ascii="Times New Roman" w:hAnsi="Times New Roman" w:eastAsia="黑体" w:cs="Times New Roman"/>
          <w:sz w:val="24"/>
        </w:rPr>
      </w:pPr>
      <w:bookmarkStart w:id="104" w:name="_Toc32220_WPSOffice_Level1"/>
      <w:bookmarkStart w:id="105" w:name="_Toc20930_WPSOffice_Level1"/>
      <w:bookmarkStart w:id="106" w:name="_Toc927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02"/>
      <w:bookmarkEnd w:id="103"/>
      <w:bookmarkEnd w:id="104"/>
      <w:bookmarkEnd w:id="105"/>
      <w:bookmarkEnd w:id="106"/>
      <w:r>
        <w:rPr>
          <w:rFonts w:hint="eastAsia" w:ascii="Times New Roman" w:hAnsi="Times New Roman" w:eastAsia="黑体" w:cs="Times New Roman"/>
          <w:sz w:val="24"/>
          <w:lang w:val="en-US" w:eastAsia="zh-CN"/>
        </w:rPr>
        <w:t>供货方案</w:t>
      </w:r>
    </w:p>
    <w:p>
      <w:pPr>
        <w:spacing w:line="440" w:lineRule="exact"/>
        <w:ind w:left="1619" w:leftChars="771"/>
        <w:rPr>
          <w:rFonts w:hint="eastAsia" w:ascii="Times New Roman" w:hAnsi="Times New Roman" w:eastAsia="黑体" w:cs="Times New Roman"/>
          <w:sz w:val="24"/>
        </w:rPr>
      </w:pPr>
      <w:bookmarkStart w:id="107" w:name="_Toc16988_WPSOffice_Level1"/>
      <w:bookmarkStart w:id="108" w:name="_Toc5885_WPSOffice_Level1"/>
      <w:bookmarkStart w:id="109" w:name="_Toc25973_WPSOffice_Level1"/>
      <w:r>
        <w:rPr>
          <w:rFonts w:hint="eastAsia" w:ascii="Times New Roman" w:hAnsi="Times New Roman" w:eastAsia="黑体" w:cs="Times New Roman"/>
          <w:sz w:val="24"/>
        </w:rPr>
        <w:t>七、其他材料</w:t>
      </w:r>
      <w:bookmarkEnd w:id="86"/>
      <w:bookmarkEnd w:id="107"/>
      <w:bookmarkEnd w:id="108"/>
      <w:bookmarkEnd w:id="109"/>
    </w:p>
    <w:p>
      <w:pPr>
        <w:pStyle w:val="19"/>
      </w:pP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bookmarkStart w:id="110" w:name="_Toc2765_WPSOffice_Level1"/>
      <w:bookmarkStart w:id="111" w:name="_Toc1362_WPSOffice_Level1"/>
      <w:bookmarkStart w:id="112" w:name="_Toc18312_WPSOffice_Level1"/>
      <w:bookmarkStart w:id="113" w:name="_Toc1017_WPSOffice_Level1"/>
      <w:bookmarkStart w:id="114" w:name="_Toc1687_WPSOffice_Level1"/>
      <w:bookmarkStart w:id="115" w:name="_Toc3972_WPSOffice_Level1"/>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w:t>
      </w:r>
      <w:r>
        <w:rPr>
          <w:rFonts w:hint="eastAsia" w:ascii="Times New Roman" w:hAnsi="Times New Roman" w:eastAsia="黑体" w:cs="Times New Roman"/>
          <w:sz w:val="28"/>
          <w:szCs w:val="28"/>
        </w:rPr>
        <w:t>响应函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ascii="Times New Roman" w:hAnsi="Times New Roman" w:cs="Times New Roman"/>
          <w:sz w:val="24"/>
        </w:rPr>
        <w:t>采购人名称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sz w:val="24"/>
        </w:rPr>
      </w:pPr>
      <w:r>
        <w:rPr>
          <w:rFonts w:hint="default" w:ascii="Times New Roman" w:hAnsi="Times New Roman" w:eastAsia="宋体" w:cs="Times New Roman"/>
          <w:sz w:val="24"/>
          <w:szCs w:val="24"/>
        </w:rPr>
        <w:t>1．</w:t>
      </w:r>
      <w:r>
        <w:rPr>
          <w:rFonts w:hint="eastAsia" w:ascii="宋体" w:hAnsi="宋体" w:eastAsia="宋体" w:cs="宋体"/>
          <w:sz w:val="24"/>
          <w:szCs w:val="24"/>
        </w:rPr>
        <w:t>我方已仔细研究了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（项目名称）招标文件的全部内容，愿意以报价文件中的投标总报价（或根据招标文件规定修正核实后确定的另一金额）提供</w:t>
      </w:r>
      <w:r>
        <w:rPr>
          <w:rFonts w:hint="eastAsia" w:ascii="Times New Roman" w:hAnsi="Times New Roman" w:cs="Times New Roman"/>
          <w:sz w:val="24"/>
          <w:lang w:val="en-US" w:eastAsia="zh-CN"/>
        </w:rPr>
        <w:t>提供招标文件要求的货物、技术服务和质保售后服务，并按合同约定履行义务</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2．</w:t>
      </w:r>
      <w:r>
        <w:rPr>
          <w:rFonts w:hint="eastAsia" w:ascii="宋体" w:hAnsi="宋体" w:eastAsia="宋体" w:cs="宋体"/>
          <w:sz w:val="24"/>
          <w:szCs w:val="24"/>
        </w:rPr>
        <w:t>我方承诺响应招标文件的全部要求。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我方承诺在招标文件规定的投标有效期内不撤销投标文件。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4．</w:t>
      </w:r>
      <w:r>
        <w:rPr>
          <w:rFonts w:hint="eastAsia" w:ascii="宋体" w:hAnsi="宋体" w:eastAsia="宋体" w:cs="宋体"/>
          <w:sz w:val="24"/>
          <w:szCs w:val="24"/>
        </w:rPr>
        <w:t>如我方中标，我方承诺：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（3）按照招标文件要求提交履约保证金。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5．</w:t>
      </w:r>
      <w:r>
        <w:rPr>
          <w:rFonts w:hint="eastAsia" w:ascii="宋体" w:hAnsi="宋体" w:eastAsia="宋体" w:cs="宋体"/>
          <w:sz w:val="24"/>
          <w:szCs w:val="24"/>
        </w:rPr>
        <w:t>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6．</w:t>
      </w:r>
      <w:r>
        <w:rPr>
          <w:rFonts w:hint="eastAsia" w:ascii="宋体" w:hAnsi="宋体" w:eastAsia="宋体" w:cs="宋体"/>
          <w:sz w:val="24"/>
          <w:szCs w:val="24"/>
        </w:rPr>
        <w:t>在合同协议书正式签署生效之前，本投标函连同你方的中标通知书将构成我们双方之间共同遵守的文件，对双方具有约束力。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7．</w:t>
      </w:r>
      <w:r>
        <w:rPr>
          <w:rFonts w:hint="eastAsia" w:ascii="宋体" w:hAnsi="宋体" w:eastAsia="宋体" w:cs="宋体"/>
          <w:sz w:val="24"/>
          <w:szCs w:val="24"/>
          <w:u w:val="single"/>
        </w:rPr>
        <w:t xml:space="preserve">                               </w:t>
      </w:r>
      <w:r>
        <w:rPr>
          <w:rFonts w:hint="eastAsia" w:ascii="宋体" w:hAnsi="宋体" w:eastAsia="宋体" w:cs="宋体"/>
          <w:sz w:val="24"/>
          <w:szCs w:val="24"/>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地  址</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pStyle w:val="19"/>
      </w:pP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pStyle w:val="6"/>
        <w:outlineLvl w:val="9"/>
        <w:rPr>
          <w:rFonts w:ascii="Times New Roman" w:hAnsi="Times New Roman" w:eastAsia="黑体" w:cs="Times New Roman"/>
          <w:sz w:val="20"/>
          <w:szCs w:val="20"/>
        </w:rPr>
      </w:pPr>
    </w:p>
    <w:p/>
    <w:bookmarkEnd w:id="110"/>
    <w:bookmarkEnd w:id="111"/>
    <w:bookmarkEnd w:id="112"/>
    <w:bookmarkEnd w:id="113"/>
    <w:bookmarkEnd w:id="114"/>
    <w:bookmarkEnd w:id="115"/>
    <w:p>
      <w:pPr>
        <w:spacing w:line="440" w:lineRule="exact"/>
        <w:jc w:val="center"/>
        <w:rPr>
          <w:rFonts w:ascii="Times New Roman" w:hAnsi="Times New Roman" w:eastAsia="黑体" w:cs="Times New Roman"/>
          <w:sz w:val="28"/>
          <w:szCs w:val="28"/>
        </w:rPr>
      </w:pPr>
      <w:bookmarkStart w:id="116" w:name="_Toc32350_WPSOffice_Level1"/>
      <w:bookmarkStart w:id="117" w:name="_Toc14563_WPSOffice_Level1"/>
      <w:bookmarkStart w:id="118" w:name="_Toc21740_WPSOffice_Level1"/>
      <w:bookmarkStart w:id="119" w:name="_Toc4951_WPSOffice_Level1"/>
      <w:bookmarkStart w:id="120" w:name="_Toc18668_WPSOffice_Level1"/>
      <w:bookmarkStart w:id="121" w:name="_Toc1996_WPSOffice_Level1"/>
      <w:r>
        <w:rPr>
          <w:rFonts w:ascii="Times New Roman" w:hAnsi="Times New Roman" w:eastAsia="黑体" w:cs="Times New Roman"/>
          <w:sz w:val="28"/>
          <w:szCs w:val="28"/>
        </w:rPr>
        <w:t>二、法定代表人身份证明及授权委托书</w:t>
      </w:r>
      <w:bookmarkEnd w:id="116"/>
      <w:bookmarkEnd w:id="117"/>
      <w:bookmarkEnd w:id="118"/>
      <w:bookmarkEnd w:id="119"/>
      <w:bookmarkEnd w:id="120"/>
      <w:bookmarkEnd w:id="121"/>
    </w:p>
    <w:p>
      <w:pPr>
        <w:spacing w:line="440" w:lineRule="exact"/>
        <w:jc w:val="center"/>
        <w:rPr>
          <w:rFonts w:ascii="Times New Roman" w:hAnsi="Times New Roman" w:cs="Times New Roman"/>
          <w:sz w:val="28"/>
          <w:szCs w:val="28"/>
        </w:rPr>
      </w:pPr>
      <w:bookmarkStart w:id="122" w:name="_Toc20803_WPSOffice_Level2"/>
      <w:bookmarkStart w:id="123" w:name="_Toc5153_WPSOffice_Level2"/>
      <w:r>
        <w:rPr>
          <w:rFonts w:ascii="Times New Roman" w:hAnsi="Times New Roman" w:eastAsia="黑体" w:cs="Times New Roman"/>
          <w:bCs/>
          <w:sz w:val="28"/>
          <w:szCs w:val="28"/>
        </w:rPr>
        <w:t>2-1 法定代表人身份证明</w:t>
      </w:r>
      <w:bookmarkEnd w:id="122"/>
      <w:bookmarkEnd w:id="123"/>
    </w:p>
    <w:p>
      <w:pPr>
        <w:spacing w:line="440" w:lineRule="exact"/>
        <w:rPr>
          <w:rFonts w:ascii="Times New Roman" w:hAnsi="Times New Roman" w:cs="Times New Roman"/>
          <w:sz w:val="20"/>
          <w:szCs w:val="20"/>
        </w:rPr>
      </w:pP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日</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sz w:val="24"/>
        </w:rPr>
        <w:t xml:space="preserve"> 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(供应商名称)的法定代表人。</w:t>
      </w:r>
    </w:p>
    <w:p>
      <w:pPr>
        <w:spacing w:line="440" w:lineRule="exact"/>
        <w:ind w:firstLine="480"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附：法定代表人身份证正反面复印件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宋体" w:hAnsi="宋体" w:eastAsia="宋体" w:cs="宋体"/>
          <w:sz w:val="24"/>
        </w:rPr>
      </w:pPr>
      <w:r>
        <w:rPr>
          <w:rFonts w:ascii="Times New Roman" w:hAnsi="Times New Roman" w:cs="Times New Roman"/>
          <w:sz w:val="24"/>
        </w:rPr>
        <w:t xml:space="preserve">                         </w:t>
      </w:r>
      <w:r>
        <w:rPr>
          <w:rFonts w:hint="eastAsia" w:ascii="宋体" w:hAnsi="宋体" w:eastAsia="宋体" w:cs="宋体"/>
          <w:sz w:val="24"/>
        </w:rPr>
        <w:t xml:space="preserve"> 供应商：</w:t>
      </w:r>
      <w:r>
        <w:rPr>
          <w:rFonts w:hint="eastAsia" w:ascii="宋体" w:hAnsi="宋体" w:eastAsia="宋体" w:cs="宋体"/>
          <w:sz w:val="24"/>
          <w:u w:val="single"/>
        </w:rPr>
        <w:t xml:space="preserve">                 </w:t>
      </w:r>
      <w:r>
        <w:rPr>
          <w:rFonts w:hint="eastAsia" w:ascii="宋体" w:hAnsi="宋体" w:eastAsia="宋体" w:cs="宋体"/>
          <w:sz w:val="24"/>
        </w:rPr>
        <w:t>(盖单位章)</w:t>
      </w:r>
    </w:p>
    <w:p>
      <w:pPr>
        <w:spacing w:line="440" w:lineRule="exact"/>
        <w:rPr>
          <w:rFonts w:ascii="Times New Roman" w:hAnsi="Times New Roman" w:cs="Times New Roman"/>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 日  </w:t>
      </w:r>
      <w:r>
        <w:rPr>
          <w:rFonts w:ascii="Times New Roman" w:hAnsi="Times New Roman" w:cs="Times New Roman"/>
          <w:sz w:val="24"/>
        </w:rPr>
        <w:t xml:space="preserve">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hint="eastAsia" w:ascii="Times New Roman" w:hAnsi="Times New Roman" w:cs="Times New Roman" w:eastAsiaTheme="minorEastAsia"/>
          <w:sz w:val="28"/>
          <w:szCs w:val="28"/>
          <w:lang w:eastAsia="zh-CN"/>
        </w:rPr>
      </w:pPr>
      <w:r>
        <w:rPr>
          <w:rFonts w:ascii="Times New Roman" w:hAnsi="Times New Roman" w:eastAsia="黑体" w:cs="Times New Roman"/>
          <w:sz w:val="24"/>
        </w:rPr>
        <w:br w:type="page"/>
      </w:r>
      <w:bookmarkStart w:id="124" w:name="_Toc12035_WPSOffice_Level2"/>
      <w:bookmarkStart w:id="125"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24"/>
      <w:bookmarkEnd w:id="125"/>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b/>
          <w:bCs/>
          <w:sz w:val="24"/>
          <w:highlight w:val="none"/>
        </w:rPr>
      </w:pPr>
      <w:r>
        <w:rPr>
          <w:rFonts w:ascii="Times New Roman" w:hAnsi="Times New Roman" w:cs="Times New Roman"/>
          <w:b/>
          <w:bCs/>
          <w:sz w:val="24"/>
          <w:highlight w:val="none"/>
        </w:rPr>
        <w:t>附：法定代表人身份证明</w:t>
      </w:r>
      <w:r>
        <w:rPr>
          <w:rFonts w:hint="eastAsia" w:ascii="Times New Roman" w:hAnsi="Times New Roman" w:cs="Times New Roman"/>
          <w:b/>
          <w:bCs/>
          <w:sz w:val="24"/>
          <w:highlight w:val="none"/>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Theme="minorEastAsia" w:hAnsiTheme="minorEastAsia" w:eastAsiaTheme="minorEastAsia" w:cstheme="minorEastAsia"/>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Theme="minorEastAsia" w:hAnsiTheme="minorEastAsia" w:eastAsiaTheme="minorEastAsia" w:cstheme="minorEastAsia"/>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hint="eastAsia" w:ascii="宋体" w:hAnsi="宋体" w:eastAsia="宋体" w:cs="宋体"/>
          <w:sz w:val="24"/>
          <w:szCs w:val="24"/>
        </w:rPr>
        <w:t>（签字或盖章）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hint="eastAsia" w:ascii="宋体" w:hAnsi="宋体" w:eastAsia="宋体" w:cs="宋体"/>
          <w:sz w:val="24"/>
          <w:szCs w:val="24"/>
        </w:rPr>
        <w:t>（签字）</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3000" w:firstLineChars="1250"/>
        <w:rPr>
          <w:rFonts w:ascii="Times New Roman" w:hAnsi="Times New Roman" w:eastAsia="黑体" w:cs="Times New Roman"/>
          <w:sz w:val="24"/>
        </w:rPr>
        <w:sectPr>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bookmarkStart w:id="126" w:name="_Toc32085_WPSOffice_Level1"/>
      <w:bookmarkStart w:id="127" w:name="_Toc26364_WPSOffice_Level1"/>
      <w:bookmarkStart w:id="128" w:name="_Toc24567_WPSOffice_Level1"/>
      <w:bookmarkStart w:id="129" w:name="_Toc24530_WPSOffice_Level1"/>
      <w:bookmarkStart w:id="130" w:name="_Toc28828_WPSOffice_Level1"/>
      <w:bookmarkStart w:id="131" w:name="_Toc27513_WPSOffice_Level1"/>
    </w:p>
    <w:bookmarkEnd w:id="126"/>
    <w:bookmarkEnd w:id="127"/>
    <w:bookmarkEnd w:id="128"/>
    <w:bookmarkEnd w:id="129"/>
    <w:bookmarkEnd w:id="130"/>
    <w:bookmarkEnd w:id="131"/>
    <w:p>
      <w:pPr>
        <w:topLinePunct/>
        <w:spacing w:line="440" w:lineRule="exact"/>
        <w:jc w:val="center"/>
        <w:rPr>
          <w:rFonts w:ascii="Times New Roman" w:hAnsi="Times New Roman" w:eastAsia="黑体" w:cs="Times New Roman"/>
          <w:sz w:val="28"/>
          <w:szCs w:val="28"/>
        </w:rPr>
      </w:pPr>
      <w:bookmarkStart w:id="132" w:name="_Toc7738_WPSOffice_Level1"/>
      <w:bookmarkStart w:id="133" w:name="_Toc19015_WPSOffice_Level1"/>
      <w:bookmarkStart w:id="134" w:name="_Toc10646_WPSOffice_Level1"/>
      <w:bookmarkStart w:id="135" w:name="_Toc17124_WPSOffice_Level1"/>
      <w:bookmarkStart w:id="136" w:name="_Toc10436_WPSOffice_Level1"/>
      <w:bookmarkStart w:id="137" w:name="_Toc31445_WPSOffice_Level1"/>
      <w:r>
        <w:rPr>
          <w:rFonts w:hint="eastAsia" w:ascii="Times New Roman" w:hAnsi="Times New Roman" w:eastAsia="黑体" w:cs="Times New Roman"/>
          <w:sz w:val="28"/>
          <w:szCs w:val="28"/>
          <w:lang w:val="en-US" w:eastAsia="zh-CN"/>
        </w:rPr>
        <w:t>三</w:t>
      </w:r>
      <w:r>
        <w:rPr>
          <w:rFonts w:ascii="Times New Roman" w:hAnsi="Times New Roman" w:eastAsia="黑体" w:cs="Times New Roman"/>
          <w:sz w:val="28"/>
          <w:szCs w:val="28"/>
        </w:rPr>
        <w:t>、</w:t>
      </w:r>
      <w:bookmarkStart w:id="138" w:name="_Toc27600_WPSOffice_Level2"/>
      <w:bookmarkStart w:id="139" w:name="_Toc2807_WPSOffice_Level2"/>
      <w:r>
        <w:rPr>
          <w:rFonts w:ascii="Times New Roman" w:hAnsi="Times New Roman" w:eastAsia="黑体" w:cs="Times New Roman"/>
          <w:sz w:val="28"/>
          <w:szCs w:val="28"/>
        </w:rPr>
        <w:t>供应商基本情况</w:t>
      </w:r>
      <w:bookmarkEnd w:id="132"/>
      <w:bookmarkEnd w:id="133"/>
      <w:bookmarkEnd w:id="134"/>
      <w:bookmarkEnd w:id="135"/>
      <w:bookmarkEnd w:id="136"/>
      <w:bookmarkEnd w:id="137"/>
      <w:bookmarkEnd w:id="138"/>
      <w:bookmarkEnd w:id="139"/>
    </w:p>
    <w:p>
      <w:pPr>
        <w:topLinePunct/>
        <w:spacing w:line="440" w:lineRule="exact"/>
        <w:jc w:val="center"/>
        <w:rPr>
          <w:rFonts w:ascii="Times New Roman" w:hAnsi="Times New Roman" w:cs="Times New Roman"/>
          <w:sz w:val="23"/>
          <w:szCs w:val="23"/>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keepNext w:val="0"/>
        <w:keepLines w:val="0"/>
        <w:pageBreakBefore w:val="0"/>
        <w:widowControl/>
        <w:kinsoku/>
        <w:wordWrap/>
        <w:overflowPunct/>
        <w:topLinePunct w:val="0"/>
        <w:autoSpaceDE w:val="0"/>
        <w:autoSpaceDN w:val="0"/>
        <w:bidi w:val="0"/>
        <w:adjustRightInd/>
        <w:snapToGrid/>
        <w:spacing w:line="360" w:lineRule="atLeast"/>
        <w:ind w:firstLine="420" w:firstLineChars="200"/>
        <w:textAlignment w:val="bottom"/>
        <w:rPr>
          <w:rFonts w:ascii="Times New Roman" w:hAnsi="Times New Roman" w:eastAsia="黑体" w:cs="Times New Roman"/>
          <w:sz w:val="21"/>
          <w:szCs w:val="21"/>
        </w:rPr>
      </w:pPr>
      <w:r>
        <w:rPr>
          <w:rFonts w:ascii="Times New Roman" w:hAnsi="Times New Roman" w:eastAsia="黑体" w:cs="Times New Roman"/>
          <w:sz w:val="21"/>
          <w:szCs w:val="21"/>
        </w:rPr>
        <w:t>在本表后应附企业法人营业执照、</w:t>
      </w:r>
      <w:r>
        <w:rPr>
          <w:rFonts w:hint="eastAsia" w:ascii="Times New Roman" w:hAnsi="Times New Roman" w:eastAsia="黑体" w:cs="Times New Roman"/>
          <w:sz w:val="21"/>
          <w:szCs w:val="21"/>
          <w:lang w:val="en-US" w:eastAsia="zh-CN"/>
        </w:rPr>
        <w:t>相关</w:t>
      </w:r>
      <w:r>
        <w:rPr>
          <w:rFonts w:ascii="Times New Roman" w:hAnsi="Times New Roman" w:eastAsia="黑体" w:cs="Times New Roman"/>
          <w:sz w:val="21"/>
          <w:szCs w:val="21"/>
        </w:rPr>
        <w:t>证书、及资格审查要求的其他证件复印件。</w:t>
      </w:r>
    </w:p>
    <w:p>
      <w:pPr>
        <w:keepNext w:val="0"/>
        <w:keepLines w:val="0"/>
        <w:pageBreakBefore w:val="0"/>
        <w:widowControl/>
        <w:kinsoku/>
        <w:wordWrap/>
        <w:overflowPunct/>
        <w:topLinePunct w:val="0"/>
        <w:autoSpaceDE w:val="0"/>
        <w:autoSpaceDN w:val="0"/>
        <w:bidi w:val="0"/>
        <w:adjustRightInd/>
        <w:snapToGrid/>
        <w:spacing w:line="360" w:lineRule="atLeast"/>
        <w:ind w:left="420" w:leftChars="200" w:firstLine="420" w:firstLineChars="200"/>
        <w:textAlignment w:val="bottom"/>
        <w:rPr>
          <w:rFonts w:ascii="Times New Roman" w:hAnsi="Times New Roman" w:eastAsia="黑体" w:cs="Times New Roman"/>
          <w:szCs w:val="21"/>
        </w:rPr>
      </w:pPr>
    </w:p>
    <w:p>
      <w:pPr>
        <w:spacing w:line="360" w:lineRule="auto"/>
        <w:ind w:firstLine="2520" w:firstLineChars="1200"/>
        <w:rPr>
          <w:rFonts w:hint="eastAsia" w:hAnsi="宋体" w:cs="宋体"/>
          <w:bCs/>
          <w:color w:val="auto"/>
        </w:rPr>
      </w:pPr>
      <w:r>
        <w:rPr>
          <w:rFonts w:ascii="Times New Roman" w:hAnsi="Times New Roman" w:eastAsia="黑体" w:cs="Times New Roman"/>
          <w:szCs w:val="21"/>
        </w:rPr>
        <w:br w:type="page"/>
      </w:r>
    </w:p>
    <w:p>
      <w:pPr>
        <w:bidi w:val="0"/>
        <w:jc w:val="center"/>
        <w:rPr>
          <w:rFonts w:hint="eastAsia" w:ascii="黑体" w:hAnsi="黑体" w:eastAsia="黑体" w:cs="黑体"/>
          <w:sz w:val="28"/>
          <w:szCs w:val="28"/>
        </w:rPr>
      </w:pPr>
      <w:bookmarkStart w:id="140" w:name="_Toc3912"/>
      <w:bookmarkStart w:id="141" w:name="_Toc18547_WPSOffice_Level1"/>
      <w:bookmarkStart w:id="142" w:name="_Toc3772_WPSOffice_Level1"/>
      <w:bookmarkStart w:id="143" w:name="_Toc19004_WPSOffice_Level1"/>
      <w:bookmarkStart w:id="144" w:name="_Toc1452_WPSOffice_Level1"/>
      <w:bookmarkStart w:id="145" w:name="_Toc5072_WPSOffice_Level1"/>
      <w:r>
        <w:rPr>
          <w:rFonts w:hint="eastAsia" w:ascii="黑体" w:hAnsi="黑体" w:eastAsia="黑体" w:cs="黑体"/>
          <w:sz w:val="28"/>
          <w:szCs w:val="28"/>
          <w:lang w:val="en-US" w:eastAsia="zh-CN"/>
        </w:rPr>
        <w:t>四</w:t>
      </w:r>
      <w:r>
        <w:rPr>
          <w:rFonts w:hint="eastAsia" w:ascii="黑体" w:hAnsi="黑体" w:eastAsia="黑体" w:cs="黑体"/>
          <w:sz w:val="28"/>
          <w:szCs w:val="28"/>
        </w:rPr>
        <w:t>、近年类似业绩情况</w:t>
      </w:r>
      <w:bookmarkEnd w:id="140"/>
      <w:bookmarkEnd w:id="141"/>
      <w:bookmarkEnd w:id="142"/>
      <w:bookmarkEnd w:id="143"/>
      <w:bookmarkEnd w:id="144"/>
      <w:bookmarkEnd w:id="145"/>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业主代表姓名</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业主代表</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lang w:val="en-US" w:eastAsia="zh-CN"/>
              </w:rPr>
              <w:t>供货</w:t>
            </w:r>
            <w:r>
              <w:rPr>
                <w:rFonts w:hint="eastAsia" w:ascii="Times New Roman" w:hAnsi="Times New Roman" w:cs="Times New Roman"/>
                <w:szCs w:val="21"/>
              </w:rPr>
              <w:t>内容</w:t>
            </w:r>
            <w:r>
              <w:rPr>
                <w:rFonts w:ascii="Times New Roman" w:hAnsi="Times New Roman" w:cs="Times New Roman"/>
                <w:szCs w:val="21"/>
              </w:rPr>
              <w:t>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 w:val="20"/>
          <w:szCs w:val="20"/>
        </w:rPr>
      </w:pPr>
      <w:r>
        <w:rPr>
          <w:rFonts w:ascii="Times New Roman" w:hAnsi="Times New Roman" w:eastAsia="黑体" w:cs="Times New Roman"/>
          <w:sz w:val="20"/>
          <w:szCs w:val="20"/>
        </w:rPr>
        <w:t>注：</w:t>
      </w:r>
    </w:p>
    <w:p>
      <w:pPr>
        <w:keepNext w:val="0"/>
        <w:keepLines w:val="0"/>
        <w:pageBreakBefore w:val="0"/>
        <w:widowControl/>
        <w:numPr>
          <w:ilvl w:val="0"/>
          <w:numId w:val="5"/>
        </w:numPr>
        <w:kinsoku/>
        <w:wordWrap/>
        <w:overflowPunct/>
        <w:topLinePunct w:val="0"/>
        <w:autoSpaceDE w:val="0"/>
        <w:autoSpaceDN w:val="0"/>
        <w:bidi w:val="0"/>
        <w:adjustRightInd/>
        <w:snapToGrid/>
        <w:spacing w:line="320" w:lineRule="exact"/>
        <w:ind w:left="0" w:leftChars="0" w:firstLine="420" w:firstLineChars="200"/>
        <w:textAlignment w:val="bottom"/>
        <w:rPr>
          <w:rFonts w:hint="eastAsia" w:ascii="黑体" w:hAnsi="黑体" w:eastAsia="黑体" w:cs="黑体"/>
          <w:sz w:val="21"/>
          <w:szCs w:val="21"/>
        </w:rPr>
      </w:pPr>
      <w:r>
        <w:rPr>
          <w:rFonts w:hint="eastAsia" w:ascii="黑体" w:hAnsi="黑体" w:eastAsia="黑体" w:cs="黑体"/>
          <w:sz w:val="21"/>
          <w:szCs w:val="21"/>
        </w:rPr>
        <w:t>每张表格只填写一个项目，并标明序号。</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hint="default" w:ascii="黑体" w:hAnsi="黑体" w:eastAsia="黑体" w:cs="黑体"/>
          <w:sz w:val="21"/>
          <w:szCs w:val="21"/>
          <w:lang w:val="en-US" w:eastAsia="zh-CN"/>
        </w:rPr>
      </w:pPr>
      <w:r>
        <w:rPr>
          <w:rFonts w:hint="eastAsia" w:ascii="黑体" w:hAnsi="黑体" w:eastAsia="黑体" w:cs="黑体"/>
          <w:sz w:val="21"/>
          <w:szCs w:val="21"/>
        </w:rPr>
        <w:t>2、业绩证明材料要求：</w:t>
      </w:r>
      <w:r>
        <w:rPr>
          <w:rFonts w:hint="eastAsia" w:ascii="黑体" w:hAnsi="黑体" w:eastAsia="黑体" w:cs="黑体"/>
          <w:sz w:val="21"/>
          <w:szCs w:val="21"/>
          <w:u w:val="single"/>
          <w:lang w:val="en-US" w:eastAsia="zh-CN"/>
        </w:rPr>
        <w:t>详见业绩最低要求</w:t>
      </w:r>
      <w:r>
        <w:rPr>
          <w:rFonts w:hint="eastAsia" w:ascii="黑体" w:hAnsi="黑体" w:eastAsia="黑体" w:cs="黑体"/>
          <w:sz w:val="21"/>
          <w:szCs w:val="21"/>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ascii="Times New Roman" w:hAnsi="Times New Roman" w:cs="Times New Roman"/>
          <w:bCs/>
          <w:kern w:val="0"/>
          <w:sz w:val="20"/>
          <w:szCs w:val="20"/>
        </w:rPr>
      </w:pPr>
      <w:r>
        <w:rPr>
          <w:rFonts w:hint="eastAsia" w:ascii="黑体" w:hAnsi="黑体" w:eastAsia="黑体" w:cs="黑体"/>
          <w:sz w:val="21"/>
          <w:szCs w:val="21"/>
        </w:rPr>
        <w:t>3、如近年来，供应商法人机构发生合法变更或重组或法人名称变更时，应提供相关部门的合法批件或其他相关证明材料来证明其所附业绩的继</w:t>
      </w:r>
      <w:bookmarkStart w:id="161" w:name="_GoBack"/>
      <w:bookmarkEnd w:id="161"/>
      <w:r>
        <w:rPr>
          <w:rFonts w:hint="eastAsia" w:ascii="黑体" w:hAnsi="黑体" w:eastAsia="黑体" w:cs="黑体"/>
          <w:sz w:val="21"/>
          <w:szCs w:val="21"/>
        </w:rPr>
        <w:t>承性。</w:t>
      </w:r>
      <w:r>
        <w:rPr>
          <w:rFonts w:ascii="Times New Roman" w:hAnsi="Times New Roman" w:eastAsia="黑体" w:cs="Times New Roman"/>
          <w:bCs/>
          <w:kern w:val="0"/>
          <w:szCs w:val="21"/>
        </w:rPr>
        <w:br w:type="page"/>
      </w:r>
    </w:p>
    <w:p>
      <w:pPr>
        <w:bidi w:val="0"/>
        <w:jc w:val="center"/>
        <w:rPr>
          <w:rFonts w:ascii="Times New Roman" w:hAnsi="Times New Roman" w:cs="Times New Roman"/>
          <w:bCs/>
          <w:sz w:val="23"/>
          <w:szCs w:val="23"/>
        </w:rPr>
      </w:pPr>
      <w:bookmarkStart w:id="146" w:name="_Toc26594_WPSOffice_Level1"/>
      <w:bookmarkStart w:id="147" w:name="_Toc3893_WPSOffice_Level1"/>
      <w:bookmarkStart w:id="148" w:name="_Toc10810_WPSOffice_Level1"/>
      <w:bookmarkStart w:id="149" w:name="_Toc12019_WPSOffice_Level1"/>
      <w:bookmarkStart w:id="150" w:name="_Toc5889_WPSOffice_Level1"/>
      <w:bookmarkStart w:id="151" w:name="_Toc5403_WPSOffice_Level1"/>
      <w:r>
        <w:rPr>
          <w:rFonts w:hint="eastAsia" w:ascii="黑体" w:hAnsi="黑体" w:eastAsia="黑体" w:cs="黑体"/>
          <w:sz w:val="28"/>
          <w:szCs w:val="28"/>
          <w:lang w:val="en-US" w:eastAsia="zh-CN"/>
        </w:rPr>
        <w:t>五</w:t>
      </w:r>
      <w:r>
        <w:rPr>
          <w:rFonts w:hint="eastAsia" w:ascii="黑体" w:hAnsi="黑体" w:eastAsia="黑体" w:cs="黑体"/>
          <w:sz w:val="28"/>
          <w:szCs w:val="28"/>
        </w:rPr>
        <w:t>、信誉情况</w:t>
      </w:r>
      <w:bookmarkEnd w:id="146"/>
      <w:bookmarkEnd w:id="147"/>
      <w:bookmarkEnd w:id="148"/>
      <w:bookmarkEnd w:id="149"/>
      <w:bookmarkEnd w:id="150"/>
      <w:bookmarkEnd w:id="151"/>
    </w:p>
    <w:p>
      <w:pPr>
        <w:topLinePunct/>
        <w:spacing w:line="440" w:lineRule="exact"/>
        <w:rPr>
          <w:rFonts w:ascii="Times New Roman" w:hAnsi="Times New Roman" w:cs="Times New Roman"/>
          <w:bCs/>
          <w:sz w:val="23"/>
          <w:szCs w:val="23"/>
        </w:rPr>
      </w:pPr>
    </w:p>
    <w:tbl>
      <w:tblPr>
        <w:tblStyle w:val="20"/>
        <w:tblW w:w="0" w:type="auto"/>
        <w:jc w:val="center"/>
        <w:tblLayout w:type="fixed"/>
        <w:tblCellMar>
          <w:top w:w="0" w:type="dxa"/>
          <w:left w:w="108" w:type="dxa"/>
          <w:bottom w:w="0" w:type="dxa"/>
          <w:right w:w="108" w:type="dxa"/>
        </w:tblCellMar>
      </w:tblPr>
      <w:tblGrid>
        <w:gridCol w:w="5104"/>
        <w:gridCol w:w="3968"/>
      </w:tblGrid>
      <w:tr>
        <w:tblPrEx>
          <w:tblCellMar>
            <w:top w:w="0" w:type="dxa"/>
            <w:left w:w="108" w:type="dxa"/>
            <w:bottom w:w="0" w:type="dxa"/>
            <w:right w:w="108" w:type="dxa"/>
          </w:tblCellMar>
        </w:tblPrEx>
        <w:trPr>
          <w:trHeight w:val="622" w:hRule="atLeast"/>
          <w:jc w:val="center"/>
        </w:trPr>
        <w:tc>
          <w:tcPr>
            <w:tcW w:w="5104"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sz w:val="22"/>
                <w:szCs w:val="22"/>
                <w:highlight w:val="none"/>
              </w:rPr>
            </w:pPr>
            <w:r>
              <w:rPr>
                <w:rFonts w:hint="eastAsia"/>
                <w:sz w:val="22"/>
                <w:szCs w:val="22"/>
                <w:highlight w:val="none"/>
              </w:rPr>
              <w:t>项  目</w:t>
            </w:r>
          </w:p>
        </w:tc>
        <w:tc>
          <w:tcPr>
            <w:tcW w:w="3968" w:type="dxa"/>
            <w:tcBorders>
              <w:top w:val="single" w:color="auto" w:sz="12" w:space="0"/>
              <w:left w:val="single" w:color="auto" w:sz="4" w:space="0"/>
              <w:bottom w:val="single" w:color="auto" w:sz="4" w:space="0"/>
              <w:right w:val="single" w:color="auto" w:sz="12" w:space="0"/>
            </w:tcBorders>
            <w:noWrap w:val="0"/>
            <w:vAlign w:val="center"/>
          </w:tcPr>
          <w:p>
            <w:pPr>
              <w:spacing w:line="400" w:lineRule="exact"/>
              <w:jc w:val="center"/>
              <w:rPr>
                <w:sz w:val="22"/>
                <w:szCs w:val="22"/>
                <w:highlight w:val="none"/>
              </w:rPr>
            </w:pPr>
            <w:r>
              <w:rPr>
                <w:rFonts w:hint="eastAsia"/>
                <w:sz w:val="22"/>
                <w:szCs w:val="22"/>
                <w:highlight w:val="none"/>
              </w:rPr>
              <w:t>投标人情况说明</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left"/>
              <w:rPr>
                <w:rFonts w:eastAsia="黑体"/>
                <w:sz w:val="22"/>
                <w:szCs w:val="22"/>
                <w:highlight w:val="none"/>
              </w:rPr>
            </w:pPr>
            <w:r>
              <w:rPr>
                <w:rFonts w:hint="eastAsia"/>
                <w:sz w:val="22"/>
                <w:szCs w:val="22"/>
                <w:highlight w:val="none"/>
              </w:rPr>
              <w:t>（1</w:t>
            </w:r>
            <w:r>
              <w:rPr>
                <w:rFonts w:hint="eastAsia" w:hAnsi="宋体"/>
                <w:sz w:val="22"/>
                <w:szCs w:val="22"/>
                <w:highlight w:val="none"/>
              </w:rPr>
              <w:t>）</w:t>
            </w:r>
            <w:r>
              <w:rPr>
                <w:rFonts w:hint="eastAsia"/>
                <w:sz w:val="22"/>
                <w:highlight w:val="none"/>
              </w:rPr>
              <w:t>投标人或其法定代表人在近三年内有行贿犯罪行为</w:t>
            </w:r>
            <w:r>
              <w:rPr>
                <w:rFonts w:hint="eastAsia" w:hAnsi="宋体"/>
                <w:sz w:val="22"/>
                <w:szCs w:val="21"/>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spacing w:line="400" w:lineRule="exact"/>
              <w:rPr>
                <w:rFonts w:eastAsia="黑体"/>
                <w:sz w:val="22"/>
                <w:szCs w:val="22"/>
                <w:highlight w:val="none"/>
              </w:rPr>
            </w:pPr>
            <w:r>
              <w:rPr>
                <w:rFonts w:hint="eastAsia" w:hAnsi="宋体"/>
                <w:sz w:val="22"/>
                <w:szCs w:val="22"/>
                <w:highlight w:val="none"/>
              </w:rPr>
              <w:t>（</w:t>
            </w:r>
            <w:r>
              <w:rPr>
                <w:rFonts w:hint="eastAsia"/>
                <w:sz w:val="22"/>
                <w:szCs w:val="22"/>
                <w:highlight w:val="none"/>
              </w:rPr>
              <w:t>2</w:t>
            </w:r>
            <w:r>
              <w:rPr>
                <w:rFonts w:hint="eastAsia" w:hAnsi="宋体"/>
                <w:sz w:val="22"/>
                <w:szCs w:val="22"/>
                <w:highlight w:val="none"/>
              </w:rPr>
              <w:t>）</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4"/>
                <w:color w:val="auto"/>
                <w:sz w:val="22"/>
                <w:szCs w:val="22"/>
                <w:highlight w:val="none"/>
              </w:rPr>
              <w:t>在</w:t>
            </w:r>
            <w:r>
              <w:rPr>
                <w:rStyle w:val="24"/>
                <w:rFonts w:hint="eastAsia"/>
                <w:color w:val="auto"/>
                <w:sz w:val="22"/>
                <w:szCs w:val="22"/>
                <w:highlight w:val="none"/>
              </w:rPr>
              <w:t>“</w:t>
            </w:r>
            <w:r>
              <w:rPr>
                <w:rStyle w:val="24"/>
                <w:color w:val="auto"/>
                <w:sz w:val="22"/>
                <w:szCs w:val="22"/>
                <w:highlight w:val="none"/>
              </w:rPr>
              <w:t>信用中国</w:t>
            </w:r>
            <w:r>
              <w:rPr>
                <w:rStyle w:val="24"/>
                <w:rFonts w:hint="eastAsia"/>
                <w:color w:val="auto"/>
                <w:sz w:val="22"/>
                <w:szCs w:val="22"/>
                <w:highlight w:val="none"/>
              </w:rPr>
              <w:t>”</w:t>
            </w:r>
            <w:r>
              <w:rPr>
                <w:rStyle w:val="24"/>
                <w:color w:val="auto"/>
                <w:sz w:val="22"/>
                <w:szCs w:val="22"/>
                <w:highlight w:val="none"/>
              </w:rPr>
              <w:t>网站（http://w</w:t>
            </w:r>
            <w:r>
              <w:rPr>
                <w:sz w:val="22"/>
                <w:szCs w:val="22"/>
                <w:highlight w:val="none"/>
              </w:rPr>
              <w:fldChar w:fldCharType="end"/>
            </w:r>
            <w:r>
              <w:rPr>
                <w:sz w:val="22"/>
                <w:szCs w:val="22"/>
                <w:highlight w:val="none"/>
              </w:rPr>
              <w:t>w</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4"/>
                <w:color w:val="auto"/>
                <w:sz w:val="22"/>
                <w:szCs w:val="22"/>
                <w:highlight w:val="none"/>
              </w:rPr>
              <w:t>w.creditchina.gov.c</w:t>
            </w:r>
            <w:r>
              <w:rPr>
                <w:sz w:val="22"/>
                <w:szCs w:val="22"/>
                <w:highlight w:val="none"/>
              </w:rPr>
              <w:fldChar w:fldCharType="end"/>
            </w:r>
            <w:r>
              <w:rPr>
                <w:sz w:val="22"/>
                <w:szCs w:val="22"/>
                <w:highlight w:val="none"/>
              </w:rPr>
              <w:t>n</w:t>
            </w:r>
            <w:r>
              <w:rPr>
                <w:rFonts w:hAnsi="宋体"/>
                <w:sz w:val="22"/>
                <w:szCs w:val="22"/>
                <w:highlight w:val="none"/>
              </w:rPr>
              <w:t>）中</w:t>
            </w:r>
            <w:r>
              <w:rPr>
                <w:rFonts w:hint="eastAsia"/>
                <w:sz w:val="22"/>
                <w:szCs w:val="22"/>
                <w:highlight w:val="none"/>
              </w:rPr>
              <w:t>被列入失信被执行人名单。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2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（3</w:t>
            </w:r>
            <w:r>
              <w:rPr>
                <w:rFonts w:hint="eastAsia" w:hAnsi="宋体"/>
                <w:sz w:val="22"/>
                <w:szCs w:val="22"/>
                <w:highlight w:val="none"/>
              </w:rPr>
              <w:t>）</w:t>
            </w:r>
            <w:r>
              <w:rPr>
                <w:rFonts w:hint="eastAsia"/>
                <w:sz w:val="22"/>
                <w:szCs w:val="22"/>
                <w:highlight w:val="none"/>
              </w:rPr>
              <w:t>最近三年内发生重大产品质量问题。</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75"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（4</w:t>
            </w:r>
            <w:r>
              <w:rPr>
                <w:rFonts w:hint="eastAsia" w:hAnsi="宋体"/>
                <w:sz w:val="22"/>
                <w:szCs w:val="22"/>
                <w:highlight w:val="none"/>
              </w:rPr>
              <w:t>）被责令停业</w:t>
            </w:r>
            <w:r>
              <w:rPr>
                <w:rFonts w:hint="eastAsia"/>
                <w:sz w:val="22"/>
                <w:szCs w:val="22"/>
                <w:highlight w:val="none"/>
              </w:rPr>
              <w:t>，暂扣或吊销执照，或吊销资质证书。</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82"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（5</w:t>
            </w:r>
            <w:r>
              <w:rPr>
                <w:rFonts w:hint="eastAsia" w:hAnsi="宋体"/>
                <w:sz w:val="22"/>
                <w:szCs w:val="22"/>
                <w:highlight w:val="none"/>
              </w:rPr>
              <w:t>）</w:t>
            </w:r>
            <w:r>
              <w:rPr>
                <w:rFonts w:hint="eastAsia"/>
                <w:sz w:val="22"/>
                <w:szCs w:val="22"/>
                <w:highlight w:val="none"/>
              </w:rPr>
              <w:t>进入清算程序，或被宣告破产，或其他丧失履约能力的情形</w:t>
            </w:r>
            <w:r>
              <w:rPr>
                <w:rFonts w:hint="eastAsia" w:hAnsi="宋体"/>
                <w:sz w:val="22"/>
                <w:szCs w:val="22"/>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587"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sz w:val="22"/>
                <w:szCs w:val="22"/>
                <w:highlight w:val="none"/>
              </w:rPr>
            </w:pPr>
            <w:r>
              <w:rPr>
                <w:rFonts w:hint="eastAsia"/>
                <w:sz w:val="22"/>
                <w:szCs w:val="22"/>
                <w:highlight w:val="none"/>
              </w:rPr>
              <w:t>（6）</w:t>
            </w:r>
            <w:r>
              <w:rPr>
                <w:sz w:val="22"/>
                <w:szCs w:val="21"/>
                <w:highlight w:val="none"/>
              </w:rPr>
              <w:t>投标人正受到在本招标项目所在地市级行政区域内取消投标资格的行政处罚。</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jc w:val="left"/>
              <w:rPr>
                <w:rFonts w:hAnsi="宋体"/>
                <w:sz w:val="22"/>
                <w:szCs w:val="22"/>
                <w:highlight w:val="none"/>
              </w:rPr>
            </w:pPr>
            <w:r>
              <w:rPr>
                <w:rFonts w:hint="eastAsia" w:hAnsi="宋体"/>
                <w:sz w:val="22"/>
                <w:szCs w:val="22"/>
                <w:highlight w:val="none"/>
              </w:rPr>
              <w:t>（7）在</w:t>
            </w:r>
            <w:r>
              <w:rPr>
                <w:rFonts w:hint="eastAsia"/>
                <w:sz w:val="22"/>
                <w:szCs w:val="22"/>
                <w:highlight w:val="none"/>
              </w:rPr>
              <w:t>国家企业信用信息公示系统（http://www.gsxt.gov.cn）中被列入严重违法失信企业名单。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hAnsi="宋体"/>
                <w:sz w:val="22"/>
                <w:szCs w:val="22"/>
                <w:highlight w:val="none"/>
              </w:rPr>
            </w:pPr>
            <w:r>
              <w:rPr>
                <w:rFonts w:hint="eastAsia" w:hAnsi="宋体"/>
                <w:sz w:val="22"/>
                <w:szCs w:val="22"/>
                <w:highlight w:val="none"/>
              </w:rPr>
              <w:t>（8）法律法规规定的其他情形。</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p>
        </w:tc>
      </w:tr>
    </w:tbl>
    <w:p>
      <w:pPr>
        <w:autoSpaceDE w:val="0"/>
        <w:snapToGrid w:val="0"/>
        <w:ind w:right="109" w:rightChars="52"/>
        <w:rPr>
          <w:rFonts w:hint="eastAsia" w:ascii="宋体" w:hAnsi="宋体"/>
          <w:szCs w:val="21"/>
          <w:highlight w:val="none"/>
        </w:rPr>
      </w:pPr>
      <w:r>
        <w:rPr>
          <w:rFonts w:ascii="宋体" w:hAnsi="宋体"/>
          <w:szCs w:val="21"/>
          <w:highlight w:val="none"/>
        </w:rPr>
        <w:t>注：1.本表后应附：</w:t>
      </w:r>
    </w:p>
    <w:p>
      <w:pPr>
        <w:autoSpaceDE w:val="0"/>
        <w:snapToGrid w:val="0"/>
        <w:ind w:right="109" w:rightChars="52" w:firstLine="420" w:firstLineChars="200"/>
        <w:rPr>
          <w:rFonts w:ascii="宋体" w:hAnsi="宋体"/>
          <w:szCs w:val="21"/>
          <w:highlight w:val="none"/>
        </w:rPr>
      </w:pPr>
      <w:r>
        <w:rPr>
          <w:rFonts w:ascii="宋体" w:hAnsi="宋体"/>
          <w:szCs w:val="21"/>
          <w:highlight w:val="none"/>
        </w:rPr>
        <w:t>（1）投标人在全国企业信用信息公示系统中未被列入严重违法失信企业名单的网页截图；</w:t>
      </w:r>
    </w:p>
    <w:p>
      <w:pPr>
        <w:autoSpaceDE w:val="0"/>
        <w:snapToGrid w:val="0"/>
        <w:ind w:right="109" w:rightChars="52" w:firstLine="420" w:firstLineChars="200"/>
        <w:rPr>
          <w:rFonts w:ascii="宋体" w:hAnsi="宋体"/>
          <w:szCs w:val="21"/>
          <w:highlight w:val="none"/>
        </w:rPr>
      </w:pPr>
      <w:r>
        <w:rPr>
          <w:rFonts w:ascii="宋体" w:hAnsi="宋体"/>
          <w:szCs w:val="21"/>
          <w:highlight w:val="none"/>
        </w:rPr>
        <w:t>（2）投标人在</w:t>
      </w:r>
      <w:r>
        <w:rPr>
          <w:rFonts w:ascii="宋体" w:hAnsi="宋体"/>
          <w:szCs w:val="21"/>
          <w:highlight w:val="none"/>
        </w:rPr>
        <w:fldChar w:fldCharType="begin"/>
      </w:r>
      <w:r>
        <w:rPr>
          <w:rFonts w:ascii="宋体" w:hAnsi="宋体"/>
          <w:szCs w:val="21"/>
          <w:highlight w:val="none"/>
        </w:rPr>
        <w:instrText xml:space="preserve"> HYPERLINK "http://www.creditchina.gov.cn/" </w:instrText>
      </w:r>
      <w:r>
        <w:rPr>
          <w:rFonts w:ascii="宋体" w:hAnsi="宋体"/>
          <w:szCs w:val="21"/>
          <w:highlight w:val="none"/>
        </w:rPr>
        <w:fldChar w:fldCharType="separate"/>
      </w:r>
      <w:r>
        <w:rPr>
          <w:rStyle w:val="24"/>
          <w:rFonts w:hint="eastAsia" w:ascii="宋体" w:hAnsi="宋体"/>
          <w:color w:val="auto"/>
          <w:szCs w:val="21"/>
          <w:highlight w:val="none"/>
          <w:u w:val="none"/>
        </w:rPr>
        <w:t>“</w:t>
      </w:r>
      <w:r>
        <w:rPr>
          <w:rStyle w:val="24"/>
          <w:rFonts w:ascii="宋体" w:hAnsi="宋体"/>
          <w:color w:val="auto"/>
          <w:szCs w:val="21"/>
          <w:highlight w:val="none"/>
          <w:u w:val="none"/>
        </w:rPr>
        <w:t>信用中国</w:t>
      </w:r>
      <w:r>
        <w:rPr>
          <w:rStyle w:val="24"/>
          <w:rFonts w:hint="eastAsia" w:ascii="宋体" w:hAnsi="宋体"/>
          <w:color w:val="auto"/>
          <w:szCs w:val="21"/>
          <w:highlight w:val="none"/>
          <w:u w:val="none"/>
        </w:rPr>
        <w:t>”</w:t>
      </w:r>
      <w:r>
        <w:rPr>
          <w:rStyle w:val="24"/>
          <w:rFonts w:ascii="宋体" w:hAnsi="宋体"/>
          <w:color w:val="auto"/>
          <w:szCs w:val="21"/>
          <w:highlight w:val="none"/>
          <w:u w:val="none"/>
        </w:rPr>
        <w:t>网站中未被列入失信被执行人名单的网页截图</w:t>
      </w:r>
      <w:r>
        <w:rPr>
          <w:rFonts w:ascii="宋体" w:hAnsi="宋体"/>
          <w:szCs w:val="21"/>
          <w:highlight w:val="none"/>
        </w:rPr>
        <w:fldChar w:fldCharType="end"/>
      </w:r>
      <w:r>
        <w:rPr>
          <w:rFonts w:ascii="宋体" w:hAnsi="宋体"/>
          <w:szCs w:val="21"/>
          <w:highlight w:val="none"/>
        </w:rPr>
        <w:t>；</w:t>
      </w:r>
    </w:p>
    <w:p>
      <w:pPr>
        <w:autoSpaceDE w:val="0"/>
        <w:snapToGrid w:val="0"/>
        <w:ind w:left="15" w:leftChars="7" w:right="109" w:rightChars="52" w:firstLine="403" w:firstLineChars="192"/>
        <w:jc w:val="left"/>
        <w:rPr>
          <w:rFonts w:hint="eastAsia" w:ascii="宋体" w:hAnsi="宋体" w:cs="宋体"/>
          <w:sz w:val="22"/>
          <w:szCs w:val="18"/>
          <w:highlight w:val="none"/>
        </w:rPr>
      </w:pPr>
      <w:r>
        <w:rPr>
          <w:rFonts w:ascii="宋体" w:hAnsi="宋体"/>
          <w:szCs w:val="21"/>
          <w:highlight w:val="none"/>
        </w:rPr>
        <w:t>2.投标人应如实填报，若经查实投标人存在瞒报行为，将取消其投标或中标资格。</w:t>
      </w:r>
    </w:p>
    <w:p>
      <w:pPr>
        <w:pStyle w:val="2"/>
        <w:jc w:val="right"/>
        <w:rPr>
          <w:rFonts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jc w:val="center"/>
        <w:rPr>
          <w:rFonts w:ascii="Times New Roman" w:hAnsi="Times New Roman" w:eastAsia="黑体" w:cs="Times New Roman"/>
          <w:sz w:val="27"/>
          <w:szCs w:val="27"/>
        </w:rPr>
      </w:pPr>
    </w:p>
    <w:p>
      <w:pPr>
        <w:spacing w:line="400" w:lineRule="atLeast"/>
        <w:jc w:val="center"/>
        <w:rPr>
          <w:rFonts w:ascii="Times New Roman" w:hAnsi="Times New Roman" w:eastAsia="黑体" w:cs="Times New Roman"/>
          <w:sz w:val="27"/>
          <w:szCs w:val="27"/>
        </w:rPr>
      </w:pPr>
    </w:p>
    <w:p>
      <w:pPr>
        <w:spacing w:line="400" w:lineRule="atLeast"/>
        <w:jc w:val="center"/>
        <w:rPr>
          <w:rFonts w:ascii="Times New Roman" w:hAnsi="Times New Roman" w:eastAsia="黑体" w:cs="Times New Roman"/>
          <w:sz w:val="27"/>
          <w:szCs w:val="27"/>
        </w:rPr>
      </w:pPr>
    </w:p>
    <w:p>
      <w:pPr>
        <w:spacing w:line="400" w:lineRule="atLeast"/>
        <w:jc w:val="center"/>
        <w:rPr>
          <w:rFonts w:ascii="Times New Roman" w:hAnsi="Times New Roman" w:eastAsia="黑体" w:cs="Times New Roman"/>
          <w:sz w:val="27"/>
          <w:szCs w:val="27"/>
        </w:rPr>
      </w:pPr>
    </w:p>
    <w:p>
      <w:pPr>
        <w:numPr>
          <w:ilvl w:val="0"/>
          <w:numId w:val="0"/>
        </w:numPr>
        <w:bidi w:val="0"/>
        <w:jc w:val="center"/>
        <w:rPr>
          <w:rFonts w:hint="eastAsia" w:ascii="Times New Roman"/>
          <w:color w:val="auto"/>
          <w:szCs w:val="24"/>
          <w:lang w:eastAsia="zh-CN"/>
        </w:rPr>
      </w:pPr>
      <w:bookmarkStart w:id="152" w:name="_Toc22303_WPSOffice_Level1"/>
      <w:bookmarkStart w:id="153" w:name="_Toc2428_WPSOffice_Level1"/>
      <w:bookmarkStart w:id="154" w:name="_Toc19034_WPSOffice_Level1"/>
      <w:bookmarkStart w:id="155" w:name="_Toc5957_WPSOffice_Level1"/>
      <w:bookmarkStart w:id="156" w:name="_Toc13165_WPSOffice_Level1"/>
      <w:bookmarkStart w:id="157" w:name="_Toc31963_WPSOffice_Level1"/>
      <w:r>
        <w:rPr>
          <w:rFonts w:hint="eastAsia" w:ascii="黑体" w:hAnsi="黑体" w:eastAsia="黑体" w:cs="黑体"/>
          <w:sz w:val="28"/>
          <w:szCs w:val="28"/>
          <w:lang w:val="en-US" w:eastAsia="zh-CN"/>
        </w:rPr>
        <w:t>六、供货方案</w:t>
      </w:r>
    </w:p>
    <w:p>
      <w:pPr>
        <w:numPr>
          <w:ilvl w:val="0"/>
          <w:numId w:val="0"/>
        </w:numPr>
        <w:bidi w:val="0"/>
        <w:jc w:val="both"/>
        <w:rPr>
          <w:rFonts w:hint="eastAsia" w:ascii="Times New Roman"/>
          <w:color w:val="auto"/>
          <w:sz w:val="24"/>
          <w:szCs w:val="24"/>
          <w:lang w:eastAsia="zh-CN"/>
        </w:rPr>
      </w:pPr>
      <w:r>
        <w:rPr>
          <w:rFonts w:hint="eastAsia" w:ascii="Times New Roman"/>
          <w:color w:val="auto"/>
          <w:sz w:val="24"/>
          <w:szCs w:val="24"/>
          <w:lang w:val="en-US" w:eastAsia="zh-CN"/>
        </w:rPr>
        <w:t>供应商应按项目特点编制供货方案</w:t>
      </w:r>
      <w:r>
        <w:rPr>
          <w:rFonts w:hint="eastAsia" w:ascii="Times New Roman"/>
          <w:color w:val="auto"/>
          <w:sz w:val="24"/>
          <w:szCs w:val="24"/>
          <w:lang w:eastAsia="zh-CN"/>
        </w:rPr>
        <w:t>，</w:t>
      </w:r>
      <w:r>
        <w:rPr>
          <w:rFonts w:hint="eastAsia" w:ascii="Times New Roman"/>
          <w:color w:val="auto"/>
          <w:sz w:val="24"/>
          <w:szCs w:val="24"/>
          <w:lang w:val="en-US" w:eastAsia="zh-CN"/>
        </w:rPr>
        <w:t>文字宜精炼，内容具有可行性、针对性</w:t>
      </w:r>
      <w:r>
        <w:rPr>
          <w:rFonts w:hint="eastAsia" w:ascii="Times New Roman"/>
          <w:color w:val="auto"/>
          <w:sz w:val="24"/>
          <w:szCs w:val="24"/>
          <w:lang w:eastAsia="zh-CN"/>
        </w:rPr>
        <w:t>。</w:t>
      </w:r>
    </w:p>
    <w:p>
      <w:pPr>
        <w:pStyle w:val="19"/>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9"/>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9"/>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9"/>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9"/>
        <w:rPr>
          <w:rFonts w:hint="eastAsia" w:ascii="Times New Roman" w:hAnsi="Times New Roman" w:eastAsia="黑体" w:cs="Times New Roman"/>
          <w:sz w:val="28"/>
          <w:szCs w:val="28"/>
        </w:rPr>
      </w:pPr>
    </w:p>
    <w:p>
      <w:pPr>
        <w:rPr>
          <w:rFonts w:hint="eastAsia"/>
        </w:rPr>
      </w:pPr>
    </w:p>
    <w:p>
      <w:pPr>
        <w:pStyle w:val="19"/>
        <w:rPr>
          <w:rFonts w:hint="eastAsia"/>
        </w:rPr>
      </w:pPr>
    </w:p>
    <w:p>
      <w:pPr>
        <w:pStyle w:val="19"/>
        <w:rPr>
          <w:rFonts w:hint="eastAsia"/>
        </w:rPr>
      </w:pPr>
    </w:p>
    <w:p>
      <w:pPr>
        <w:rPr>
          <w:rFonts w:hint="eastAsia"/>
        </w:rPr>
      </w:pPr>
    </w:p>
    <w:p>
      <w:pPr>
        <w:pStyle w:val="19"/>
        <w:rPr>
          <w:rFonts w:hint="eastAsia"/>
        </w:rPr>
      </w:pPr>
    </w:p>
    <w:p>
      <w:pPr>
        <w:rPr>
          <w:rFonts w:hint="eastAsia"/>
        </w:rPr>
      </w:pPr>
    </w:p>
    <w:p>
      <w:pPr>
        <w:pStyle w:val="19"/>
        <w:rPr>
          <w:rFonts w:hint="eastAsia"/>
        </w:rPr>
      </w:pPr>
    </w:p>
    <w:p>
      <w:pPr>
        <w:rPr>
          <w:rFonts w:hint="eastAsia"/>
        </w:rPr>
      </w:pPr>
    </w:p>
    <w:p>
      <w:pPr>
        <w:pStyle w:val="19"/>
        <w:rPr>
          <w:rFonts w:hint="eastAsia"/>
        </w:rPr>
      </w:pPr>
    </w:p>
    <w:p>
      <w:pPr>
        <w:rPr>
          <w:rFonts w:hint="eastAsia"/>
        </w:rPr>
      </w:pPr>
    </w:p>
    <w:p>
      <w:pPr>
        <w:pStyle w:val="19"/>
        <w:rPr>
          <w:rFonts w:hint="eastAsia"/>
        </w:rPr>
      </w:pPr>
    </w:p>
    <w:p>
      <w:pPr>
        <w:rPr>
          <w:rFonts w:hint="eastAsia"/>
        </w:rPr>
      </w:pPr>
    </w:p>
    <w:p>
      <w:pPr>
        <w:pStyle w:val="2"/>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七</w:t>
      </w:r>
      <w:r>
        <w:rPr>
          <w:rFonts w:ascii="Times New Roman" w:hAnsi="Times New Roman" w:eastAsia="黑体" w:cs="Times New Roman"/>
          <w:sz w:val="28"/>
          <w:szCs w:val="28"/>
        </w:rPr>
        <w:t>、其</w:t>
      </w:r>
      <w:bookmarkEnd w:id="152"/>
      <w:r>
        <w:rPr>
          <w:rFonts w:hint="eastAsia" w:ascii="Times New Roman" w:hAnsi="Times New Roman" w:eastAsia="黑体" w:cs="Times New Roman"/>
          <w:sz w:val="28"/>
          <w:szCs w:val="28"/>
          <w:lang w:val="en-US" w:eastAsia="zh-CN"/>
        </w:rPr>
        <w:t>他</w:t>
      </w:r>
      <w:r>
        <w:rPr>
          <w:rFonts w:ascii="Times New Roman" w:hAnsi="Times New Roman" w:eastAsia="黑体" w:cs="Times New Roman"/>
          <w:sz w:val="28"/>
          <w:szCs w:val="28"/>
        </w:rPr>
        <w:t>材料</w:t>
      </w:r>
      <w:bookmarkEnd w:id="153"/>
      <w:bookmarkEnd w:id="154"/>
      <w:bookmarkEnd w:id="155"/>
      <w:bookmarkEnd w:id="156"/>
      <w:bookmarkEnd w:id="157"/>
    </w:p>
    <w:p>
      <w:pPr>
        <w:pStyle w:val="26"/>
        <w:rPr>
          <w:rFonts w:hint="default" w:ascii="Times New Roman" w:hAnsi="Times New Roman"/>
          <w:color w:val="auto"/>
          <w:szCs w:val="28"/>
        </w:rPr>
      </w:pPr>
    </w:p>
    <w:p>
      <w:pPr>
        <w:pStyle w:val="26"/>
        <w:numPr>
          <w:ilvl w:val="0"/>
          <w:numId w:val="0"/>
        </w:numPr>
        <w:rPr>
          <w:rFonts w:hint="eastAsia" w:ascii="宋体" w:hAnsi="宋体" w:eastAsia="宋体" w:cs="宋体"/>
          <w:color w:val="auto"/>
          <w:szCs w:val="28"/>
        </w:rPr>
      </w:pPr>
      <w:r>
        <w:rPr>
          <w:rFonts w:hint="eastAsia" w:ascii="宋体" w:hAnsi="宋体" w:eastAsia="宋体" w:cs="宋体"/>
          <w:color w:val="auto"/>
          <w:szCs w:val="28"/>
        </w:rPr>
        <w:t>响应保证金的银行凭证（电汇回单）复印件等。</w:t>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pStyle w:val="19"/>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9"/>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r>
        <w:rPr>
          <w:rFonts w:ascii="Times New Roman" w:hAnsi="Times New Roman" w:eastAsia="黑体" w:cs="Times New Roman"/>
          <w:sz w:val="36"/>
          <w:szCs w:val="36"/>
        </w:rPr>
        <w:t>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r>
        <w:rPr>
          <w:rFonts w:ascii="Times New Roman" w:hAnsi="Times New Roman" w:eastAsia="黑体" w:cs="Times New Roman"/>
          <w:sz w:val="50"/>
          <w:szCs w:val="50"/>
        </w:rPr>
        <w:t>响  应  文  件</w:t>
      </w:r>
    </w:p>
    <w:p>
      <w:pPr>
        <w:pStyle w:val="19"/>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（报价文件）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r>
        <w:rPr>
          <w:rFonts w:ascii="Times New Roman" w:hAnsi="Times New Roman" w:eastAsia="黑体" w:cs="Times New Roman"/>
          <w:sz w:val="28"/>
          <w:szCs w:val="28"/>
        </w:rPr>
        <w:t>目     录</w:t>
      </w:r>
    </w:p>
    <w:p>
      <w:pPr>
        <w:spacing w:line="440" w:lineRule="exact"/>
        <w:rPr>
          <w:rFonts w:ascii="Times New Roman" w:hAnsi="Times New Roman" w:eastAsia="黑体" w:cs="Times New Roman"/>
          <w:sz w:val="20"/>
          <w:szCs w:val="20"/>
        </w:rPr>
      </w:pPr>
    </w:p>
    <w:p>
      <w:pPr>
        <w:spacing w:line="440" w:lineRule="exact"/>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一、报价函</w:t>
      </w:r>
    </w:p>
    <w:p>
      <w:pPr>
        <w:spacing w:line="440" w:lineRule="exact"/>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二、已标价</w:t>
      </w:r>
      <w:r>
        <w:rPr>
          <w:rFonts w:hint="eastAsia" w:ascii="Times New Roman" w:hAnsi="Times New Roman" w:eastAsia="黑体" w:cs="Times New Roman"/>
          <w:sz w:val="24"/>
          <w:szCs w:val="24"/>
        </w:rPr>
        <w:t>的工程量</w:t>
      </w:r>
      <w:r>
        <w:rPr>
          <w:rFonts w:ascii="Times New Roman" w:hAnsi="Times New Roman" w:eastAsia="黑体" w:cs="Times New Roman"/>
          <w:sz w:val="24"/>
          <w:szCs w:val="24"/>
        </w:rPr>
        <w:t>清单</w:t>
      </w: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p>
    <w:p>
      <w:pPr>
        <w:pStyle w:val="19"/>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9"/>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9"/>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9"/>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9"/>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9"/>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9"/>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9"/>
      </w:pPr>
    </w:p>
    <w:p/>
    <w:p/>
    <w:p>
      <w:pPr>
        <w:numPr>
          <w:ilvl w:val="0"/>
          <w:numId w:val="0"/>
        </w:numPr>
        <w:spacing w:line="440" w:lineRule="exact"/>
        <w:jc w:val="center"/>
      </w:pPr>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报价函</w:t>
      </w:r>
    </w:p>
    <w:p>
      <w:pPr>
        <w:pStyle w:val="19"/>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(项目名称)询比文件的全部内容(含补遗书第</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号至第</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号)，愿意以人民币(大写)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lang w:val="en-US" w:eastAsia="zh-CN"/>
        </w:rPr>
        <w:t>提供招标文件要求的货物、技术服务和质保售后服务，并按合同约定履行义务</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ascii="Times New Roman" w:hAnsi="Times New Roman" w:cs="Times New Roman"/>
          <w:sz w:val="24"/>
        </w:rPr>
        <w:t>2．我方承诺在响应有效期内不修改、撤销响应文件。</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3</w:t>
      </w:r>
      <w:r>
        <w:rPr>
          <w:rFonts w:ascii="Times New Roman" w:hAnsi="Times New Roman" w:cs="Times New Roman"/>
          <w:sz w:val="24"/>
        </w:rPr>
        <w:t>．我方在此声明，所递交的响应文件及有关资料内容完整、真实和准确。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4</w:t>
      </w:r>
      <w:r>
        <w:rPr>
          <w:rFonts w:ascii="Times New Roman" w:hAnsi="Times New Roman" w:cs="Times New Roman"/>
          <w:sz w:val="24"/>
        </w:rPr>
        <w:t>．</w:t>
      </w:r>
      <w:r>
        <w:rPr>
          <w:rFonts w:hint="eastAsia" w:ascii="Times New Roman" w:hAnsi="Times New Roman" w:cs="Times New Roman"/>
          <w:sz w:val="24"/>
        </w:rPr>
        <w:t>我方已按招标文件要求详细审核并确认全部招标文件及有关附件，充分理解投标价格不得低于企业个别成本有关规定。我方经成本核算，所填报的投标报价不低于企业个别成本。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5</w:t>
      </w:r>
      <w:r>
        <w:rPr>
          <w:rFonts w:hint="eastAsia" w:ascii="Times New Roman" w:hAnsi="Times New Roman" w:cs="Times New Roman"/>
          <w:sz w:val="24"/>
        </w:rPr>
        <w:t>．除非另外达成协议并生效，你方的中标通知书和本投标文件以及招标文件、招标文件澄清、修改、补充文件将成为约束双方的合同文件的组成部分。</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6.其他补充说明：</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none"/>
          <w:lang w:val="en-US" w:eastAsia="zh-CN"/>
        </w:rPr>
        <w:t>。</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宋体" w:hAnsi="宋体" w:eastAsia="宋体" w:cs="宋体"/>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宋体" w:hAnsi="宋体" w:eastAsia="宋体" w:cs="宋体"/>
          <w:sz w:val="24"/>
          <w:szCs w:val="24"/>
        </w:rPr>
        <w:t>（签字或盖章）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numPr>
          <w:ilvl w:val="0"/>
          <w:numId w:val="0"/>
        </w:numPr>
        <w:spacing w:line="440" w:lineRule="exact"/>
        <w:jc w:val="center"/>
        <w:rPr>
          <w:rFonts w:hint="eastAsia" w:ascii="Times New Roman" w:hAnsi="Times New Roman" w:eastAsia="黑体" w:cs="Times New Roman"/>
          <w:sz w:val="28"/>
          <w:szCs w:val="28"/>
          <w:lang w:val="en-US" w:eastAsia="zh-CN"/>
        </w:rPr>
      </w:pPr>
      <w:bookmarkStart w:id="158" w:name="_Toc153421230"/>
      <w:bookmarkStart w:id="159" w:name="_Toc272486050"/>
      <w:bookmarkStart w:id="160" w:name="_Toc162490440"/>
      <w:r>
        <w:rPr>
          <w:rFonts w:hint="eastAsia" w:ascii="Times New Roman" w:hAnsi="Times New Roman" w:eastAsia="黑体" w:cs="Times New Roman"/>
          <w:sz w:val="28"/>
          <w:szCs w:val="28"/>
          <w:lang w:val="en-US" w:eastAsia="zh-CN"/>
        </w:rPr>
        <w:t>二、</w:t>
      </w:r>
      <w:bookmarkEnd w:id="158"/>
      <w:bookmarkEnd w:id="159"/>
      <w:bookmarkEnd w:id="160"/>
      <w:r>
        <w:rPr>
          <w:rFonts w:hint="eastAsia" w:ascii="Times New Roman" w:hAnsi="Times New Roman" w:eastAsia="黑体" w:cs="Times New Roman"/>
          <w:sz w:val="28"/>
          <w:szCs w:val="28"/>
          <w:lang w:val="en-US" w:eastAsia="zh-CN"/>
        </w:rPr>
        <w:t>已标价的工程量清单</w:t>
      </w:r>
    </w:p>
    <w:p>
      <w:pPr>
        <w:spacing w:line="440" w:lineRule="exact"/>
        <w:rPr>
          <w:rFonts w:ascii="Times New Roman" w:hAnsi="Times New Roman" w:eastAsia="黑体" w:cs="Times New Roman"/>
          <w:color w:val="auto"/>
          <w:sz w:val="24"/>
          <w:highlight w:val="none"/>
        </w:rPr>
      </w:pPr>
    </w:p>
    <w:p>
      <w:pPr>
        <w:spacing w:line="360" w:lineRule="auto"/>
        <w:ind w:firstLine="281" w:firstLineChars="100"/>
        <w:jc w:val="center"/>
        <w:rPr>
          <w:rFonts w:hint="eastAsia" w:ascii="宋体" w:hAnsi="宋体" w:cs="宋体"/>
          <w:b/>
          <w:bCs/>
          <w:sz w:val="28"/>
          <w:szCs w:val="28"/>
          <w:highlight w:val="none"/>
        </w:rPr>
      </w:pPr>
      <w:r>
        <w:rPr>
          <w:rFonts w:hint="eastAsia" w:ascii="宋体" w:hAnsi="宋体" w:cs="宋体"/>
          <w:b/>
          <w:bCs/>
          <w:sz w:val="28"/>
          <w:szCs w:val="28"/>
          <w:highlight w:val="none"/>
        </w:rPr>
        <w:t>A．说明</w:t>
      </w:r>
    </w:p>
    <w:p>
      <w:pPr>
        <w:spacing w:line="360" w:lineRule="auto"/>
        <w:ind w:firstLine="437"/>
        <w:rPr>
          <w:sz w:val="22"/>
          <w:szCs w:val="21"/>
          <w:highlight w:val="none"/>
        </w:rPr>
      </w:pPr>
      <w:r>
        <w:rPr>
          <w:sz w:val="22"/>
          <w:szCs w:val="21"/>
          <w:highlight w:val="none"/>
        </w:rPr>
        <w:t>1．本</w:t>
      </w:r>
      <w:r>
        <w:rPr>
          <w:rFonts w:hint="eastAsia"/>
          <w:sz w:val="22"/>
          <w:szCs w:val="21"/>
          <w:highlight w:val="none"/>
        </w:rPr>
        <w:t>报价</w:t>
      </w:r>
      <w:r>
        <w:rPr>
          <w:sz w:val="22"/>
          <w:szCs w:val="21"/>
          <w:highlight w:val="none"/>
        </w:rPr>
        <w:t>清单应与投标人须知、专用合同条款、技术规格等文件结合起来查阅与理解。</w:t>
      </w:r>
    </w:p>
    <w:p>
      <w:pPr>
        <w:spacing w:line="360" w:lineRule="auto"/>
        <w:ind w:firstLine="437"/>
        <w:rPr>
          <w:sz w:val="22"/>
          <w:szCs w:val="21"/>
          <w:highlight w:val="none"/>
        </w:rPr>
      </w:pPr>
      <w:r>
        <w:rPr>
          <w:sz w:val="22"/>
          <w:szCs w:val="21"/>
          <w:highlight w:val="none"/>
        </w:rPr>
        <w:t>2．除非合同另有规定，清单中综合单价和总价应包括了为实施和完成合同所需的设计费、制造费、材料费、利润、税费</w:t>
      </w:r>
      <w:r>
        <w:rPr>
          <w:rFonts w:hint="eastAsia"/>
          <w:sz w:val="22"/>
          <w:szCs w:val="21"/>
          <w:highlight w:val="none"/>
        </w:rPr>
        <w:t>（含增值税）</w:t>
      </w:r>
      <w:r>
        <w:rPr>
          <w:sz w:val="22"/>
          <w:szCs w:val="21"/>
          <w:highlight w:val="none"/>
        </w:rPr>
        <w:t>、运输费、验收、取证、培训、技术服务、损耗费、检测费、商业保险费、验收费、安装调试费等达到使用条件及质保期维护维修的一切费用，以及合同约定的所有责任、义务和一般风险。</w:t>
      </w:r>
    </w:p>
    <w:p>
      <w:pPr>
        <w:spacing w:line="360" w:lineRule="auto"/>
        <w:ind w:firstLine="437"/>
        <w:rPr>
          <w:sz w:val="22"/>
          <w:szCs w:val="21"/>
          <w:highlight w:val="none"/>
        </w:rPr>
      </w:pPr>
      <w:r>
        <w:rPr>
          <w:sz w:val="22"/>
          <w:szCs w:val="21"/>
          <w:highlight w:val="none"/>
        </w:rPr>
        <w:t>3．</w:t>
      </w:r>
      <w:r>
        <w:rPr>
          <w:rFonts w:hint="eastAsia"/>
          <w:sz w:val="22"/>
          <w:szCs w:val="21"/>
          <w:highlight w:val="none"/>
        </w:rPr>
        <w:t>报价</w:t>
      </w:r>
      <w:r>
        <w:rPr>
          <w:sz w:val="22"/>
          <w:szCs w:val="21"/>
          <w:highlight w:val="none"/>
        </w:rPr>
        <w:t>清单中的各项费用货币单位均为人民币(元)。</w:t>
      </w:r>
    </w:p>
    <w:p>
      <w:pPr>
        <w:spacing w:line="360" w:lineRule="auto"/>
        <w:ind w:firstLine="437"/>
        <w:rPr>
          <w:rFonts w:hint="eastAsia"/>
          <w:sz w:val="22"/>
          <w:szCs w:val="21"/>
          <w:highlight w:val="none"/>
        </w:rPr>
      </w:pPr>
      <w:r>
        <w:rPr>
          <w:sz w:val="22"/>
          <w:szCs w:val="21"/>
          <w:highlight w:val="none"/>
        </w:rPr>
        <w:t>4．交货期以合同签订之日起算</w:t>
      </w:r>
      <w:r>
        <w:rPr>
          <w:rFonts w:hint="eastAsia"/>
          <w:sz w:val="22"/>
          <w:szCs w:val="21"/>
          <w:highlight w:val="none"/>
        </w:rPr>
        <w:t>。</w:t>
      </w:r>
    </w:p>
    <w:p>
      <w:pPr>
        <w:pStyle w:val="18"/>
        <w:jc w:val="right"/>
        <w:rPr>
          <w:rFonts w:hint="eastAsia"/>
          <w:lang w:val="en-US" w:eastAsia="zh-CN"/>
        </w:rPr>
      </w:pPr>
    </w:p>
    <w:p>
      <w:pPr>
        <w:pStyle w:val="18"/>
        <w:rPr>
          <w:rFonts w:hint="eastAsia"/>
          <w:lang w:val="en-US" w:eastAsia="zh-CN"/>
        </w:rPr>
      </w:pPr>
    </w:p>
    <w:p>
      <w:pPr>
        <w:rPr>
          <w:rFonts w:hint="eastAsia"/>
          <w:lang w:val="en-US" w:eastAsia="zh-CN"/>
        </w:rPr>
      </w:pPr>
      <w:r>
        <w:rPr>
          <w:rFonts w:hint="eastAsia"/>
          <w:lang w:val="en-US" w:eastAsia="zh-CN"/>
        </w:rPr>
        <w:br w:type="page"/>
      </w:r>
    </w:p>
    <w:p>
      <w:pPr>
        <w:pStyle w:val="5"/>
        <w:numPr>
          <w:ilvl w:val="0"/>
          <w:numId w:val="0"/>
        </w:numPr>
        <w:ind w:left="417" w:leftChars="0"/>
        <w:jc w:val="center"/>
        <w:rPr>
          <w:rFonts w:hint="eastAsia" w:ascii="宋体" w:hAnsi="宋体" w:eastAsia="宋体" w:cs="宋体"/>
          <w:bCs/>
          <w:kern w:val="2"/>
          <w:sz w:val="28"/>
          <w:szCs w:val="28"/>
          <w:highlight w:val="none"/>
          <w:lang w:eastAsia="zh-CN"/>
        </w:rPr>
      </w:pPr>
      <w:r>
        <w:rPr>
          <w:rFonts w:hint="eastAsia" w:ascii="宋体" w:hAnsi="宋体" w:cs="宋体"/>
          <w:b w:val="0"/>
          <w:bCs/>
          <w:sz w:val="28"/>
          <w:szCs w:val="24"/>
          <w:highlight w:val="none"/>
        </w:rPr>
        <w:t xml:space="preserve">B. </w:t>
      </w:r>
      <w:r>
        <w:rPr>
          <w:rFonts w:hint="eastAsia" w:ascii="宋体" w:hAnsi="宋体" w:eastAsia="宋体" w:cs="宋体"/>
          <w:bCs/>
          <w:kern w:val="2"/>
          <w:sz w:val="28"/>
          <w:szCs w:val="28"/>
          <w:highlight w:val="none"/>
          <w:lang w:eastAsia="zh-CN"/>
        </w:rPr>
        <w:t>已标价工程量清单</w:t>
      </w:r>
    </w:p>
    <w:p>
      <w:pPr>
        <w:spacing w:line="360" w:lineRule="auto"/>
        <w:ind w:firstLine="480" w:firstLineChars="200"/>
        <w:rPr>
          <w:rFonts w:hint="eastAsia"/>
          <w:highlight w:val="none"/>
        </w:rPr>
      </w:pPr>
      <w:r>
        <w:rPr>
          <w:rFonts w:hint="eastAsia" w:ascii="宋体" w:hAnsi="宋体" w:cs="宋体"/>
          <w:bCs/>
          <w:sz w:val="24"/>
          <w:szCs w:val="24"/>
          <w:highlight w:val="none"/>
        </w:rPr>
        <w:t>投标人按照招标人提供的“工程量清单”的要求逐项填报工程量清单，包括但不限于工程量清单说明、投标报价说明及工程量清单各项表格。</w:t>
      </w: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ckThinSmallGap" w:color="auto" w:sz="12"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安徽省经工物资有限公司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7" o:spt="136" type="#_x0000_t136" style="position:absolute;left:0pt;height:62.3pt;width:524.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66513AD"/>
    <w:multiLevelType w:val="singleLevel"/>
    <w:tmpl w:val="A66513AD"/>
    <w:lvl w:ilvl="0" w:tentative="0">
      <w:start w:val="2"/>
      <w:numFmt w:val="chineseCounting"/>
      <w:suff w:val="nothing"/>
      <w:lvlText w:val="（%1）"/>
      <w:lvlJc w:val="left"/>
      <w:rPr>
        <w:rFonts w:hint="eastAsia"/>
      </w:rPr>
    </w:lvl>
  </w:abstractNum>
  <w:abstractNum w:abstractNumId="2">
    <w:nsid w:val="AF0C7C81"/>
    <w:multiLevelType w:val="singleLevel"/>
    <w:tmpl w:val="AF0C7C81"/>
    <w:lvl w:ilvl="0" w:tentative="0">
      <w:start w:val="1"/>
      <w:numFmt w:val="decimal"/>
      <w:suff w:val="nothing"/>
      <w:lvlText w:val="（%1）"/>
      <w:lvlJc w:val="left"/>
    </w:lvl>
  </w:abstractNum>
  <w:abstractNum w:abstractNumId="3">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4">
    <w:nsid w:val="61C7D68E"/>
    <w:multiLevelType w:val="singleLevel"/>
    <w:tmpl w:val="61C7D68E"/>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DFlYjFmMjQ0NTA5NzRlMjAxMjJjOTAwY2Y1YzkifQ=="/>
  </w:docVars>
  <w:rsids>
    <w:rsidRoot w:val="6F4D02A4"/>
    <w:rsid w:val="0022317B"/>
    <w:rsid w:val="00302DB5"/>
    <w:rsid w:val="00302F3A"/>
    <w:rsid w:val="005607D6"/>
    <w:rsid w:val="00653222"/>
    <w:rsid w:val="00691F7C"/>
    <w:rsid w:val="00724BD4"/>
    <w:rsid w:val="007C6E94"/>
    <w:rsid w:val="00E8570D"/>
    <w:rsid w:val="023E3C6A"/>
    <w:rsid w:val="028D5673"/>
    <w:rsid w:val="02D346A3"/>
    <w:rsid w:val="038863C7"/>
    <w:rsid w:val="03A9557F"/>
    <w:rsid w:val="04701D1E"/>
    <w:rsid w:val="04E034BC"/>
    <w:rsid w:val="05F94BA8"/>
    <w:rsid w:val="06341F34"/>
    <w:rsid w:val="068727A0"/>
    <w:rsid w:val="07063EDC"/>
    <w:rsid w:val="076958CF"/>
    <w:rsid w:val="09210464"/>
    <w:rsid w:val="0A2E7496"/>
    <w:rsid w:val="0A466107"/>
    <w:rsid w:val="0A7005A2"/>
    <w:rsid w:val="0A941F2B"/>
    <w:rsid w:val="0BDD422F"/>
    <w:rsid w:val="0DBD0BDC"/>
    <w:rsid w:val="0DE02F17"/>
    <w:rsid w:val="0EBA46A3"/>
    <w:rsid w:val="0EBB2DAD"/>
    <w:rsid w:val="0F6F4854"/>
    <w:rsid w:val="0F9F0794"/>
    <w:rsid w:val="0FBE1FCA"/>
    <w:rsid w:val="103E486A"/>
    <w:rsid w:val="106D5B52"/>
    <w:rsid w:val="1090350E"/>
    <w:rsid w:val="10944070"/>
    <w:rsid w:val="10A6372F"/>
    <w:rsid w:val="10DA535D"/>
    <w:rsid w:val="110D2AFF"/>
    <w:rsid w:val="11DF30C9"/>
    <w:rsid w:val="129325F3"/>
    <w:rsid w:val="12FA3B2F"/>
    <w:rsid w:val="13E11194"/>
    <w:rsid w:val="14464682"/>
    <w:rsid w:val="144A391D"/>
    <w:rsid w:val="15133F2C"/>
    <w:rsid w:val="163D1F3A"/>
    <w:rsid w:val="17FC3132"/>
    <w:rsid w:val="188C4113"/>
    <w:rsid w:val="191A46EE"/>
    <w:rsid w:val="19647370"/>
    <w:rsid w:val="19DE1C05"/>
    <w:rsid w:val="1A3C6E09"/>
    <w:rsid w:val="1A657CD8"/>
    <w:rsid w:val="1AA97D25"/>
    <w:rsid w:val="1B87260E"/>
    <w:rsid w:val="1C0C5403"/>
    <w:rsid w:val="1C511068"/>
    <w:rsid w:val="1CD07137"/>
    <w:rsid w:val="1CF12CD2"/>
    <w:rsid w:val="1D3772E3"/>
    <w:rsid w:val="1D3F5364"/>
    <w:rsid w:val="1D9C6C71"/>
    <w:rsid w:val="1DD02C25"/>
    <w:rsid w:val="1E7E7378"/>
    <w:rsid w:val="1F93095F"/>
    <w:rsid w:val="1FB449F5"/>
    <w:rsid w:val="1FC01B05"/>
    <w:rsid w:val="20220D88"/>
    <w:rsid w:val="202D724A"/>
    <w:rsid w:val="20CE712B"/>
    <w:rsid w:val="20E701EC"/>
    <w:rsid w:val="2211172D"/>
    <w:rsid w:val="22806203"/>
    <w:rsid w:val="22A243CB"/>
    <w:rsid w:val="23610B8C"/>
    <w:rsid w:val="241D716E"/>
    <w:rsid w:val="244A6AC8"/>
    <w:rsid w:val="248751A0"/>
    <w:rsid w:val="24A7216D"/>
    <w:rsid w:val="2613091A"/>
    <w:rsid w:val="265909F3"/>
    <w:rsid w:val="27621A0B"/>
    <w:rsid w:val="279E7B84"/>
    <w:rsid w:val="27B103DE"/>
    <w:rsid w:val="285445B2"/>
    <w:rsid w:val="28D24D9C"/>
    <w:rsid w:val="28FE7045"/>
    <w:rsid w:val="2941798C"/>
    <w:rsid w:val="294C5129"/>
    <w:rsid w:val="295C70D0"/>
    <w:rsid w:val="29AA0009"/>
    <w:rsid w:val="2A8F70B0"/>
    <w:rsid w:val="2AE43776"/>
    <w:rsid w:val="2B1D5459"/>
    <w:rsid w:val="2CC548F1"/>
    <w:rsid w:val="2D141CF6"/>
    <w:rsid w:val="2D984126"/>
    <w:rsid w:val="2E0A4375"/>
    <w:rsid w:val="2E2A3B5A"/>
    <w:rsid w:val="2E6740D2"/>
    <w:rsid w:val="2ED8288A"/>
    <w:rsid w:val="300246FB"/>
    <w:rsid w:val="30793AE8"/>
    <w:rsid w:val="319B3695"/>
    <w:rsid w:val="32332253"/>
    <w:rsid w:val="324271A8"/>
    <w:rsid w:val="333F226C"/>
    <w:rsid w:val="33A12A69"/>
    <w:rsid w:val="33C26030"/>
    <w:rsid w:val="35201A23"/>
    <w:rsid w:val="35843E04"/>
    <w:rsid w:val="361938E0"/>
    <w:rsid w:val="36C144C3"/>
    <w:rsid w:val="38894DE3"/>
    <w:rsid w:val="388C7CC2"/>
    <w:rsid w:val="38B92676"/>
    <w:rsid w:val="39D25EB8"/>
    <w:rsid w:val="39F257E0"/>
    <w:rsid w:val="3AAD339E"/>
    <w:rsid w:val="3B096510"/>
    <w:rsid w:val="3B414529"/>
    <w:rsid w:val="3B47240E"/>
    <w:rsid w:val="3B7C2F21"/>
    <w:rsid w:val="3B8A41D3"/>
    <w:rsid w:val="3BC00DC4"/>
    <w:rsid w:val="3C651D50"/>
    <w:rsid w:val="3CF7310E"/>
    <w:rsid w:val="3E103B9E"/>
    <w:rsid w:val="3E2829E9"/>
    <w:rsid w:val="3E5113D8"/>
    <w:rsid w:val="3FB452E6"/>
    <w:rsid w:val="3FF744E4"/>
    <w:rsid w:val="403D54CD"/>
    <w:rsid w:val="408028ED"/>
    <w:rsid w:val="41212AAF"/>
    <w:rsid w:val="4178455B"/>
    <w:rsid w:val="41B873F1"/>
    <w:rsid w:val="41BB6E00"/>
    <w:rsid w:val="41CE6B33"/>
    <w:rsid w:val="41CF3C5E"/>
    <w:rsid w:val="41FB71FC"/>
    <w:rsid w:val="426A68F1"/>
    <w:rsid w:val="426B29F2"/>
    <w:rsid w:val="42ED38B0"/>
    <w:rsid w:val="44623B29"/>
    <w:rsid w:val="44CB7E92"/>
    <w:rsid w:val="44D53D34"/>
    <w:rsid w:val="45E82159"/>
    <w:rsid w:val="460C19D8"/>
    <w:rsid w:val="46767799"/>
    <w:rsid w:val="475036EC"/>
    <w:rsid w:val="476304E5"/>
    <w:rsid w:val="48407E8B"/>
    <w:rsid w:val="48941C0A"/>
    <w:rsid w:val="48F03833"/>
    <w:rsid w:val="4A304D72"/>
    <w:rsid w:val="4ADA08DD"/>
    <w:rsid w:val="4B302190"/>
    <w:rsid w:val="4C0D05F0"/>
    <w:rsid w:val="4C312198"/>
    <w:rsid w:val="4C6063F0"/>
    <w:rsid w:val="4D237C5B"/>
    <w:rsid w:val="4DB33731"/>
    <w:rsid w:val="4DB34E9F"/>
    <w:rsid w:val="4F0478A8"/>
    <w:rsid w:val="4F570614"/>
    <w:rsid w:val="5051384E"/>
    <w:rsid w:val="50932863"/>
    <w:rsid w:val="50C64757"/>
    <w:rsid w:val="51801680"/>
    <w:rsid w:val="528B597C"/>
    <w:rsid w:val="55CE5FAF"/>
    <w:rsid w:val="568D4A8B"/>
    <w:rsid w:val="5787376C"/>
    <w:rsid w:val="58340631"/>
    <w:rsid w:val="588621CE"/>
    <w:rsid w:val="58AC03AC"/>
    <w:rsid w:val="58B3037A"/>
    <w:rsid w:val="598F3C15"/>
    <w:rsid w:val="5A1256BA"/>
    <w:rsid w:val="5AB51CCA"/>
    <w:rsid w:val="5AB57322"/>
    <w:rsid w:val="5BC0596D"/>
    <w:rsid w:val="5BE5635E"/>
    <w:rsid w:val="5BF03F10"/>
    <w:rsid w:val="5C03587B"/>
    <w:rsid w:val="5C4805D9"/>
    <w:rsid w:val="5DA53F1B"/>
    <w:rsid w:val="5DC63FF9"/>
    <w:rsid w:val="5FC627A0"/>
    <w:rsid w:val="5FD076A0"/>
    <w:rsid w:val="60CC0666"/>
    <w:rsid w:val="61DA4AD9"/>
    <w:rsid w:val="629D4803"/>
    <w:rsid w:val="62AE498D"/>
    <w:rsid w:val="63167544"/>
    <w:rsid w:val="63D57455"/>
    <w:rsid w:val="63FF44D2"/>
    <w:rsid w:val="64AB0CD1"/>
    <w:rsid w:val="64D84E1A"/>
    <w:rsid w:val="65675ED4"/>
    <w:rsid w:val="676E5CC7"/>
    <w:rsid w:val="67E14BAB"/>
    <w:rsid w:val="67EE0AE5"/>
    <w:rsid w:val="67F71E56"/>
    <w:rsid w:val="684C44B3"/>
    <w:rsid w:val="68880F3A"/>
    <w:rsid w:val="690F1726"/>
    <w:rsid w:val="6A2D5CB0"/>
    <w:rsid w:val="6AF83B5E"/>
    <w:rsid w:val="6BB90159"/>
    <w:rsid w:val="6C031C78"/>
    <w:rsid w:val="6C111246"/>
    <w:rsid w:val="6C124248"/>
    <w:rsid w:val="6C5B268C"/>
    <w:rsid w:val="6C6B059F"/>
    <w:rsid w:val="6CA00B62"/>
    <w:rsid w:val="6CFE27E3"/>
    <w:rsid w:val="6D274D94"/>
    <w:rsid w:val="6D955447"/>
    <w:rsid w:val="6DD01AB0"/>
    <w:rsid w:val="6DEB139F"/>
    <w:rsid w:val="6E596222"/>
    <w:rsid w:val="6E8B3FD1"/>
    <w:rsid w:val="6E9D5013"/>
    <w:rsid w:val="6F4D02A4"/>
    <w:rsid w:val="6FDB7D0C"/>
    <w:rsid w:val="706B3710"/>
    <w:rsid w:val="70784F6A"/>
    <w:rsid w:val="70B2470E"/>
    <w:rsid w:val="71943263"/>
    <w:rsid w:val="71B80224"/>
    <w:rsid w:val="720B21A0"/>
    <w:rsid w:val="725D01F5"/>
    <w:rsid w:val="72775B5D"/>
    <w:rsid w:val="72E163D5"/>
    <w:rsid w:val="730651BF"/>
    <w:rsid w:val="751540E3"/>
    <w:rsid w:val="757762DF"/>
    <w:rsid w:val="76085468"/>
    <w:rsid w:val="764861AD"/>
    <w:rsid w:val="772B58B2"/>
    <w:rsid w:val="77822AD2"/>
    <w:rsid w:val="7846297D"/>
    <w:rsid w:val="79487052"/>
    <w:rsid w:val="79E06FD9"/>
    <w:rsid w:val="7A2B3BCE"/>
    <w:rsid w:val="7AC3206E"/>
    <w:rsid w:val="7AFF6ACD"/>
    <w:rsid w:val="7B436E21"/>
    <w:rsid w:val="7CAA6238"/>
    <w:rsid w:val="7DA02855"/>
    <w:rsid w:val="7DC73E5B"/>
    <w:rsid w:val="7DC73F51"/>
    <w:rsid w:val="7E134C71"/>
    <w:rsid w:val="7F210F90"/>
    <w:rsid w:val="7F2760C3"/>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7">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tabs>
        <w:tab w:val="left" w:pos="450"/>
      </w:tabs>
      <w:ind w:left="450" w:hanging="450"/>
      <w:jc w:val="center"/>
    </w:pPr>
    <w:rPr>
      <w:rFonts w:ascii="黑体" w:eastAsia="黑体"/>
      <w:sz w:val="32"/>
      <w:szCs w:val="20"/>
    </w:rPr>
  </w:style>
  <w:style w:type="paragraph" w:styleId="8">
    <w:name w:val="annotation text"/>
    <w:basedOn w:val="1"/>
    <w:qFormat/>
    <w:uiPriority w:val="0"/>
    <w:pPr>
      <w:jc w:val="left"/>
    </w:pPr>
    <w:rPr>
      <w:rFonts w:eastAsia="Calibri"/>
      <w:kern w:val="0"/>
      <w:sz w:val="22"/>
      <w:lang w:eastAsia="en-US"/>
    </w:rPr>
  </w:style>
  <w:style w:type="paragraph" w:styleId="9">
    <w:name w:val="Body Text Indent"/>
    <w:basedOn w:val="1"/>
    <w:next w:val="10"/>
    <w:link w:val="32"/>
    <w:qFormat/>
    <w:uiPriority w:val="0"/>
    <w:pPr>
      <w:spacing w:after="120"/>
      <w:ind w:left="420" w:leftChars="200"/>
    </w:pPr>
  </w:style>
  <w:style w:type="paragraph" w:styleId="10">
    <w:name w:val="envelope return"/>
    <w:basedOn w:val="1"/>
    <w:unhideWhenUsed/>
    <w:qFormat/>
    <w:uiPriority w:val="99"/>
    <w:pPr>
      <w:snapToGrid w:val="0"/>
      <w:ind w:firstLine="200"/>
    </w:pPr>
    <w:rPr>
      <w:rFonts w:ascii="Arial" w:hAnsi="Arial" w:cs="Arial"/>
      <w:szCs w:val="20"/>
    </w:rPr>
  </w:style>
  <w:style w:type="paragraph" w:styleId="11">
    <w:name w:val="Plain Text"/>
    <w:basedOn w:val="1"/>
    <w:link w:val="33"/>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引用1"/>
    <w:basedOn w:val="1"/>
    <w:next w:val="1"/>
    <w:unhideWhenUsed/>
    <w:qFormat/>
    <w:uiPriority w:val="99"/>
    <w:pPr>
      <w:ind w:left="864" w:right="864"/>
      <w:jc w:val="center"/>
    </w:pPr>
    <w:rPr>
      <w:rFonts w:ascii="Times New Roman" w:hAnsi="Times New Roman"/>
      <w:i/>
      <w:iCs/>
      <w:color w:val="404040"/>
      <w:szCs w:val="21"/>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Body Text First Indent"/>
    <w:basedOn w:val="2"/>
    <w:qFormat/>
    <w:uiPriority w:val="99"/>
    <w:pPr>
      <w:ind w:firstLine="420" w:firstLineChars="100"/>
    </w:pPr>
  </w:style>
  <w:style w:type="paragraph" w:styleId="19">
    <w:name w:val="Body Text First Indent 2"/>
    <w:basedOn w:val="9"/>
    <w:next w:val="1"/>
    <w:qFormat/>
    <w:uiPriority w:val="0"/>
    <w:pPr>
      <w:ind w:firstLine="420" w:firstLineChars="200"/>
    </w:pPr>
    <w:rPr>
      <w:rFonts w:ascii="Calibri" w:hAnsi="Calibri"/>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unhideWhenUsed/>
    <w:qFormat/>
    <w:uiPriority w:val="99"/>
    <w:rPr>
      <w:rFonts w:ascii="Times New Roman" w:hAnsi="Times New Roman" w:eastAsia="宋体" w:cs="Times New Roman"/>
      <w:color w:val="0000FF"/>
      <w:kern w:val="2"/>
      <w:sz w:val="21"/>
      <w:szCs w:val="24"/>
      <w:u w:val="single"/>
      <w:lang w:eastAsia="zh-CN"/>
    </w:rPr>
  </w:style>
  <w:style w:type="character" w:styleId="25">
    <w:name w:val="footnote reference"/>
    <w:unhideWhenUsed/>
    <w:qFormat/>
    <w:uiPriority w:val="0"/>
    <w:rPr>
      <w:vertAlign w:val="superscript"/>
    </w:rPr>
  </w:style>
  <w:style w:type="paragraph" w:customStyle="1" w:styleId="2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character" w:customStyle="1" w:styleId="28">
    <w:name w:val="font61"/>
    <w:basedOn w:val="22"/>
    <w:qFormat/>
    <w:uiPriority w:val="0"/>
    <w:rPr>
      <w:rFonts w:hint="eastAsia" w:ascii="宋体" w:hAnsi="宋体" w:eastAsia="宋体" w:cs="宋体"/>
      <w:color w:val="000000"/>
      <w:sz w:val="20"/>
      <w:szCs w:val="20"/>
      <w:u w:val="none"/>
    </w:rPr>
  </w:style>
  <w:style w:type="character" w:customStyle="1" w:styleId="29">
    <w:name w:val="font141"/>
    <w:basedOn w:val="22"/>
    <w:qFormat/>
    <w:uiPriority w:val="0"/>
    <w:rPr>
      <w:rFonts w:hint="eastAsia" w:ascii="宋体" w:hAnsi="宋体" w:eastAsia="宋体" w:cs="宋体"/>
      <w:color w:val="000000"/>
      <w:sz w:val="24"/>
      <w:szCs w:val="24"/>
      <w:u w:val="none"/>
      <w:vertAlign w:val="superscript"/>
    </w:rPr>
  </w:style>
  <w:style w:type="paragraph" w:customStyle="1" w:styleId="30">
    <w:name w:val="样式 标题 2 + Times New Roman 四号 非加粗 段前: 5 磅 段后: 0 磅 行距: 固定值 20..."/>
    <w:basedOn w:val="5"/>
    <w:qFormat/>
    <w:uiPriority w:val="0"/>
    <w:pPr>
      <w:spacing w:before="100" w:line="400" w:lineRule="exact"/>
    </w:pPr>
    <w:rPr>
      <w:rFonts w:ascii="Times New Roman" w:hAnsi="Times New Roman" w:eastAsia="黑体" w:cs="宋体"/>
      <w:b w:val="0"/>
      <w:bCs w:val="0"/>
      <w:kern w:val="0"/>
      <w:szCs w:val="20"/>
    </w:rPr>
  </w:style>
  <w:style w:type="paragraph" w:customStyle="1" w:styleId="31">
    <w:name w:val="List Paragraph"/>
    <w:basedOn w:val="1"/>
    <w:qFormat/>
    <w:uiPriority w:val="1"/>
    <w:pPr>
      <w:ind w:left="235" w:hanging="527"/>
    </w:pPr>
    <w:rPr>
      <w:rFonts w:ascii="宋体" w:hAnsi="宋体" w:eastAsia="宋体" w:cs="宋体"/>
      <w:lang w:val="zh-CN" w:eastAsia="zh-CN" w:bidi="zh-CN"/>
    </w:rPr>
  </w:style>
  <w:style w:type="character" w:customStyle="1" w:styleId="32">
    <w:name w:val="正文文本缩进 Char"/>
    <w:link w:val="9"/>
    <w:qFormat/>
    <w:uiPriority w:val="0"/>
  </w:style>
  <w:style w:type="character" w:customStyle="1" w:styleId="33">
    <w:name w:val="纯文本 Char"/>
    <w:link w:val="11"/>
    <w:qFormat/>
    <w:uiPriority w:val="0"/>
    <w:rPr>
      <w:rFonts w:ascii="宋体" w:hAnsi="Courier New"/>
      <w:szCs w:val="20"/>
    </w:rPr>
  </w:style>
  <w:style w:type="paragraph" w:customStyle="1" w:styleId="34">
    <w:name w:val="Quote"/>
    <w:basedOn w:val="1"/>
    <w:next w:val="1"/>
    <w:unhideWhenUsed/>
    <w:qFormat/>
    <w:uiPriority w:val="99"/>
    <w:pPr>
      <w:ind w:left="864" w:right="864"/>
      <w:jc w:val="center"/>
    </w:pPr>
    <w:rPr>
      <w:rFonts w:ascii="Times New Roman" w:hAnsi="Times New Roman"/>
      <w:i/>
      <w:iCs/>
      <w:color w:val="404040"/>
      <w:szCs w:val="21"/>
    </w:rPr>
  </w:style>
  <w:style w:type="paragraph" w:customStyle="1" w:styleId="35">
    <w:name w:val="Table Paragraph"/>
    <w:basedOn w:val="1"/>
    <w:qFormat/>
    <w:uiPriority w:val="1"/>
    <w:rPr>
      <w:rFonts w:ascii="宋体" w:hAnsi="宋体" w:eastAsia="宋体" w:cs="宋体"/>
    </w:rPr>
  </w:style>
  <w:style w:type="table" w:customStyle="1" w:styleId="36">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37">
    <w:name w:val="font11"/>
    <w:basedOn w:val="22"/>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19721</Words>
  <Characters>20662</Characters>
  <Lines>180</Lines>
  <Paragraphs>50</Paragraphs>
  <TotalTime>30</TotalTime>
  <ScaleCrop>false</ScaleCrop>
  <LinksUpToDate>false</LinksUpToDate>
  <CharactersWithSpaces>28010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夜丶长枫</cp:lastModifiedBy>
  <cp:lastPrinted>2023-09-13T06:55:00Z</cp:lastPrinted>
  <dcterms:modified xsi:type="dcterms:W3CDTF">2023-09-15T07:17:12Z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821B8B54EE874255BD9E78A6718D19C9_13</vt:lpwstr>
  </property>
</Properties>
</file>