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widowControl/>
        <w:jc w:val="center"/>
        <w:rPr>
          <w:rFonts w:ascii="Times New Roman" w:hAnsi="Times New Roman" w:eastAsia="宋体" w:cs="Times New Roman"/>
          <w:sz w:val="24"/>
        </w:rPr>
      </w:pPr>
    </w:p>
    <w:p>
      <w:pPr>
        <w:keepNext w:val="0"/>
        <w:keepLines w:val="0"/>
        <w:pageBreakBefore w:val="0"/>
        <w:widowControl/>
        <w:kinsoku/>
        <w:wordWrap/>
        <w:overflowPunct/>
        <w:topLinePunct w:val="0"/>
        <w:autoSpaceDE/>
        <w:autoSpaceDN/>
        <w:bidi w:val="0"/>
        <w:adjustRightInd/>
        <w:snapToGrid/>
        <w:ind w:left="-315" w:leftChars="-150" w:right="-315" w:rightChars="-150"/>
        <w:jc w:val="both"/>
        <w:textAlignment w:val="auto"/>
        <w:rPr>
          <w:rFonts w:hint="default" w:ascii="方正小标宋简体" w:hAnsi="方正小标宋简体" w:eastAsia="方正小标宋简体" w:cs="方正小标宋简体"/>
          <w:b w:val="0"/>
          <w:bCs w:val="0"/>
          <w:sz w:val="48"/>
          <w:szCs w:val="48"/>
          <w:u w:val="none"/>
          <w:lang w:val="en-US" w:eastAsia="zh-CN"/>
        </w:rPr>
      </w:pPr>
      <w:r>
        <w:rPr>
          <w:rFonts w:hint="eastAsia" w:ascii="方正小标宋简体" w:hAnsi="方正小标宋简体" w:eastAsia="方正小标宋简体" w:cs="方正小标宋简体"/>
          <w:b w:val="0"/>
          <w:bCs w:val="0"/>
          <w:sz w:val="48"/>
          <w:szCs w:val="48"/>
          <w:u w:val="none"/>
          <w:lang w:val="zh-TW" w:eastAsia="zh-CN"/>
        </w:rPr>
        <w:t>阜阳紫阳华苑项目</w:t>
      </w:r>
      <w:r>
        <w:rPr>
          <w:rFonts w:hint="eastAsia" w:ascii="方正小标宋简体" w:hAnsi="方正小标宋简体" w:eastAsia="方正小标宋简体" w:cs="方正小标宋简体"/>
          <w:b w:val="0"/>
          <w:bCs w:val="0"/>
          <w:sz w:val="48"/>
          <w:szCs w:val="48"/>
          <w:u w:val="none"/>
          <w:lang w:val="en-US" w:eastAsia="zh-CN"/>
        </w:rPr>
        <w:t>P</w:t>
      </w:r>
      <w:bookmarkStart w:id="166" w:name="_GoBack"/>
      <w:bookmarkEnd w:id="166"/>
      <w:r>
        <w:rPr>
          <w:rFonts w:hint="eastAsia" w:ascii="方正小标宋简体" w:hAnsi="方正小标宋简体" w:eastAsia="方正小标宋简体" w:cs="方正小标宋简体"/>
          <w:b w:val="0"/>
          <w:bCs w:val="0"/>
          <w:sz w:val="48"/>
          <w:szCs w:val="48"/>
          <w:u w:val="none"/>
          <w:lang w:val="en-US" w:eastAsia="zh-CN"/>
        </w:rPr>
        <w:t>C</w:t>
      </w:r>
      <w:r>
        <w:rPr>
          <w:rFonts w:hint="eastAsia" w:ascii="方正小标宋简体" w:hAnsi="方正小标宋简体" w:eastAsia="方正小标宋简体" w:cs="方正小标宋简体"/>
          <w:b w:val="0"/>
          <w:bCs w:val="0"/>
          <w:sz w:val="48"/>
          <w:szCs w:val="48"/>
          <w:u w:val="none"/>
          <w:lang w:val="zh-TW" w:eastAsia="zh-CN"/>
        </w:rPr>
        <w:t>预制构件</w:t>
      </w:r>
      <w:r>
        <w:rPr>
          <w:rFonts w:hint="eastAsia" w:ascii="方正小标宋简体" w:hAnsi="方正小标宋简体" w:eastAsia="方正小标宋简体" w:cs="方正小标宋简体"/>
          <w:b w:val="0"/>
          <w:bCs w:val="0"/>
          <w:sz w:val="48"/>
          <w:szCs w:val="48"/>
          <w:u w:val="none"/>
          <w:lang w:val="en-US" w:eastAsia="zh-CN"/>
        </w:rPr>
        <w:t>采购(二次)</w:t>
      </w:r>
    </w:p>
    <w:p>
      <w:pPr>
        <w:jc w:val="center"/>
        <w:rPr>
          <w:rFonts w:hint="eastAsia" w:ascii="Times New Roman" w:hAnsi="Times New Roman" w:eastAsia="黑体" w:cs="Times New Roman"/>
          <w:sz w:val="72"/>
          <w:szCs w:val="72"/>
          <w:lang w:val="en-US" w:eastAsia="zh-CN"/>
        </w:rPr>
      </w:pPr>
    </w:p>
    <w:p>
      <w:pPr>
        <w:pStyle w:val="13"/>
        <w:rPr>
          <w:rFonts w:ascii="Times New Roman" w:hAnsi="Times New Roman" w:cs="Times New Roman"/>
          <w:szCs w:val="21"/>
        </w:rPr>
      </w:pPr>
    </w:p>
    <w:p>
      <w:pPr>
        <w:pStyle w:val="1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招</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件</w:t>
      </w:r>
    </w:p>
    <w:p>
      <w:pPr>
        <w:spacing w:line="540" w:lineRule="exact"/>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安徽省经工建设集团有限公司</w:t>
      </w:r>
    </w:p>
    <w:p>
      <w:pPr>
        <w:snapToGrid w:val="0"/>
        <w:ind w:left="2994" w:leftChars="-95" w:hanging="3193" w:hangingChars="998"/>
        <w:jc w:val="center"/>
        <w:rPr>
          <w:rFonts w:ascii="Times New Roman" w:hAnsi="Times New Roman" w:cs="Times New Roman"/>
          <w:sz w:val="32"/>
          <w:szCs w:val="32"/>
        </w:rPr>
      </w:pPr>
    </w:p>
    <w:p>
      <w:pPr>
        <w:snapToGrid w:val="0"/>
        <w:ind w:firstLine="1920" w:firstLineChars="6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none"/>
          <w:lang w:val="en-US" w:eastAsia="zh-CN"/>
        </w:rPr>
        <w:t>月</w:t>
      </w:r>
    </w:p>
    <w:p>
      <w:pPr>
        <w:snapToGrid w:val="0"/>
        <w:jc w:val="center"/>
        <w:rPr>
          <w:rFonts w:ascii="Times New Roman" w:hAnsi="Times New Roman" w:cs="Times New Roman"/>
          <w:sz w:val="32"/>
          <w:szCs w:val="32"/>
        </w:rPr>
      </w:pPr>
    </w:p>
    <w:p>
      <w:pPr>
        <w:ind w:left="1896" w:leftChars="903"/>
        <w:rPr>
          <w:rFonts w:ascii="Times New Roman" w:hAnsi="Times New Roman" w:eastAsia="宋体" w:cs="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rPr>
        <w:id w:val="147465118"/>
        <w15:color w:val="DBDBDB"/>
      </w:sdtPr>
      <w:sdtEndPr>
        <w:rPr>
          <w:rFonts w:ascii="宋体" w:hAnsi="宋体" w:eastAsia="宋体"/>
        </w:rPr>
      </w:sdtEndPr>
      <w:sdtContent>
        <w:sdt>
          <w:sdtPr>
            <w:rPr>
              <w:rFonts w:hint="eastAsia" w:ascii="方正粗黑宋简体" w:hAnsi="方正粗黑宋简体" w:eastAsia="方正粗黑宋简体" w:cs="方正粗黑宋简体"/>
              <w:b/>
              <w:bCs/>
              <w:sz w:val="48"/>
              <w:szCs w:val="48"/>
            </w:rPr>
            <w:id w:val="147465118"/>
            <w15:color w:val="DBDBDB"/>
          </w:sdtPr>
          <w:sdtEndPr>
            <w:rPr>
              <w:rFonts w:hint="eastAsia" w:ascii="宋体" w:hAnsi="宋体" w:eastAsia="宋体" w:cs="方正粗黑宋简体"/>
              <w:b/>
              <w:bCs/>
              <w:sz w:val="48"/>
              <w:szCs w:val="48"/>
            </w:rPr>
          </w:sdtEndPr>
          <w:sdtContent>
            <w:p>
              <w:pPr>
                <w:jc w:val="center"/>
                <w:rPr>
                  <w:rFonts w:hint="eastAsia" w:ascii="方正粗黑宋简体" w:hAnsi="方正粗黑宋简体" w:eastAsia="方正粗黑宋简体" w:cs="方正粗黑宋简体"/>
                  <w:b/>
                  <w:bCs/>
                  <w:sz w:val="48"/>
                  <w:szCs w:val="48"/>
                </w:rPr>
              </w:pPr>
              <w:r>
                <w:rPr>
                  <w:rStyle w:val="43"/>
                  <w:rFonts w:hint="eastAsia" w:ascii="方正粗黑宋简体" w:hAnsi="方正粗黑宋简体" w:eastAsia="方正粗黑宋简体" w:cs="方正粗黑宋简体"/>
                  <w:b/>
                  <w:bCs/>
                  <w:sz w:val="48"/>
                  <w:szCs w:val="48"/>
                </w:rPr>
                <w:t>目  录</w:t>
              </w:r>
            </w:p>
            <w:p>
              <w:pPr>
                <w:pStyle w:val="37"/>
                <w:tabs>
                  <w:tab w:val="right" w:leader="dot" w:pos="8312"/>
                </w:tabs>
                <w:rPr>
                  <w:sz w:val="36"/>
                  <w:szCs w:val="36"/>
                </w:rPr>
              </w:pP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TOC \o "1-1" \h \u </w:instrText>
              </w:r>
              <w:r>
                <w:fldChar w:fldCharType="separate"/>
              </w: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TOC \o "1-1" \h \u </w:instrText>
              </w:r>
              <w:r>
                <w:rPr>
                  <w:rFonts w:hint="eastAsia" w:ascii="微软雅黑" w:hAnsi="微软雅黑" w:eastAsia="微软雅黑" w:cs="微软雅黑"/>
                  <w:sz w:val="32"/>
                  <w:szCs w:val="32"/>
                </w:rPr>
                <w:fldChar w:fldCharType="separate"/>
              </w:r>
              <w:r>
                <w:fldChar w:fldCharType="begin"/>
              </w:r>
              <w:r>
                <w:instrText xml:space="preserve"> HYPERLINK \l "_Toc8368" </w:instrText>
              </w:r>
              <w:r>
                <w:fldChar w:fldCharType="separate"/>
              </w:r>
              <w:r>
                <w:rPr>
                  <w:rFonts w:hint="eastAsia" w:ascii="微软雅黑" w:hAnsi="微软雅黑" w:eastAsia="微软雅黑" w:cs="微软雅黑"/>
                  <w:kern w:val="0"/>
                  <w:sz w:val="32"/>
                  <w:szCs w:val="32"/>
                </w:rPr>
                <w:t>第一章</w:t>
              </w:r>
              <w:r>
                <w:rPr>
                  <w:rFonts w:hint="eastAsia" w:ascii="微软雅黑" w:hAnsi="微软雅黑" w:eastAsia="微软雅黑" w:cs="微软雅黑"/>
                  <w:kern w:val="0"/>
                  <w:sz w:val="32"/>
                  <w:szCs w:val="32"/>
                  <w:lang w:eastAsia="zh-CN"/>
                </w:rPr>
                <w:t>采购</w:t>
              </w:r>
              <w:r>
                <w:rPr>
                  <w:rFonts w:hint="eastAsia" w:ascii="微软雅黑" w:hAnsi="微软雅黑" w:eastAsia="微软雅黑" w:cs="微软雅黑"/>
                  <w:kern w:val="0"/>
                  <w:sz w:val="32"/>
                  <w:szCs w:val="32"/>
                </w:rPr>
                <w:t>公告</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"_Toc9056" </w:instrText>
              </w:r>
              <w:r>
                <w:fldChar w:fldCharType="separate"/>
              </w:r>
              <w:r>
                <w:rPr>
                  <w:rFonts w:hint="eastAsia" w:ascii="微软雅黑" w:hAnsi="微软雅黑" w:eastAsia="微软雅黑" w:cs="微软雅黑"/>
                  <w:kern w:val="0"/>
                  <w:sz w:val="32"/>
                  <w:szCs w:val="32"/>
                </w:rPr>
                <w:t>第二章    投标人须知附表</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kern w:val="44"/>
                  <w:sz w:val="32"/>
                  <w:szCs w:val="32"/>
                </w:rPr>
                <w:fldChar w:fldCharType="begin"/>
              </w:r>
              <w:r>
                <w:rPr>
                  <w:rFonts w:hint="eastAsia" w:ascii="微软雅黑" w:hAnsi="微软雅黑" w:eastAsia="微软雅黑" w:cs="微软雅黑"/>
                  <w:kern w:val="44"/>
                  <w:sz w:val="32"/>
                  <w:szCs w:val="32"/>
                </w:rPr>
                <w:instrText xml:space="preserve"> HYPERLINK \l "_Toc20284" </w:instrText>
              </w:r>
              <w:r>
                <w:rPr>
                  <w:rFonts w:hint="eastAsia" w:ascii="微软雅黑" w:hAnsi="微软雅黑" w:eastAsia="微软雅黑" w:cs="微软雅黑"/>
                  <w:kern w:val="44"/>
                  <w:sz w:val="32"/>
                  <w:szCs w:val="32"/>
                </w:rPr>
                <w:fldChar w:fldCharType="separate"/>
              </w:r>
              <w:r>
                <w:rPr>
                  <w:rFonts w:hint="eastAsia" w:ascii="微软雅黑" w:hAnsi="微软雅黑" w:eastAsia="微软雅黑" w:cs="微软雅黑"/>
                  <w:kern w:val="44"/>
                  <w:sz w:val="32"/>
                  <w:szCs w:val="32"/>
                </w:rPr>
                <w:t>第三章    评审办法</w:t>
              </w:r>
              <w:r>
                <w:rPr>
                  <w:rFonts w:hint="eastAsia" w:ascii="微软雅黑" w:hAnsi="微软雅黑" w:eastAsia="微软雅黑" w:cs="微软雅黑"/>
                  <w:kern w:val="44"/>
                  <w:sz w:val="32"/>
                  <w:szCs w:val="32"/>
                </w:rPr>
                <w:fldChar w:fldCharType="end"/>
              </w:r>
              <w:r>
                <w:rPr>
                  <w:rFonts w:hint="eastAsia" w:ascii="微软雅黑" w:hAnsi="微软雅黑" w:eastAsia="微软雅黑" w:cs="微软雅黑"/>
                  <w:kern w:val="44"/>
                  <w:sz w:val="32"/>
                  <w:szCs w:val="32"/>
                </w:rPr>
                <w:t>（</w:t>
              </w:r>
              <w:r>
                <w:rPr>
                  <w:rFonts w:hint="eastAsia" w:ascii="微软雅黑" w:hAnsi="微软雅黑" w:eastAsia="微软雅黑" w:cs="微软雅黑"/>
                  <w:kern w:val="44"/>
                  <w:sz w:val="32"/>
                  <w:szCs w:val="32"/>
                  <w:lang w:eastAsia="zh-CN"/>
                </w:rPr>
                <w:t>中位值</w:t>
              </w:r>
              <w:r>
                <w:rPr>
                  <w:rFonts w:hint="eastAsia" w:ascii="微软雅黑" w:hAnsi="微软雅黑" w:eastAsia="微软雅黑" w:cs="微软雅黑"/>
                  <w:kern w:val="44"/>
                  <w:sz w:val="32"/>
                  <w:szCs w:val="32"/>
                </w:rPr>
                <w:t>法）</w:t>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"_Toc28562" </w:instrText>
              </w:r>
              <w:r>
                <w:fldChar w:fldCharType="separate"/>
              </w:r>
              <w:r>
                <w:rPr>
                  <w:rFonts w:hint="eastAsia" w:ascii="微软雅黑" w:hAnsi="微软雅黑" w:eastAsia="微软雅黑" w:cs="微软雅黑"/>
                  <w:sz w:val="32"/>
                  <w:szCs w:val="32"/>
                </w:rPr>
                <w:t>第四章    合同主要条款</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"_Toc9151" </w:instrText>
              </w:r>
              <w:r>
                <w:fldChar w:fldCharType="separate"/>
              </w:r>
              <w:r>
                <w:rPr>
                  <w:rFonts w:hint="eastAsia" w:ascii="微软雅黑" w:hAnsi="微软雅黑" w:eastAsia="微软雅黑" w:cs="微软雅黑"/>
                  <w:sz w:val="32"/>
                  <w:szCs w:val="32"/>
                </w:rPr>
                <w:t>第五章    技术标准和要求</w:t>
              </w:r>
              <w:r>
                <w:rPr>
                  <w:rFonts w:hint="eastAsia" w:ascii="微软雅黑" w:hAnsi="微软雅黑" w:eastAsia="微软雅黑" w:cs="微软雅黑"/>
                  <w:sz w:val="32"/>
                  <w:szCs w:val="32"/>
                </w:rPr>
                <w:fldChar w:fldCharType="end"/>
              </w:r>
            </w:p>
            <w:p>
              <w:pPr>
                <w:pStyle w:val="17"/>
                <w:tabs>
                  <w:tab w:val="right" w:leader="dot" w:pos="9638"/>
                </w:tabs>
                <w:spacing w:line="360" w:lineRule="auto"/>
                <w:ind w:firstLine="60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fldChar w:fldCharType="end"/>
              </w:r>
            </w:p>
            <w:p>
              <w:pPr>
                <w:pStyle w:val="17"/>
                <w:tabs>
                  <w:tab w:val="right" w:leader="dot" w:pos="8312"/>
                </w:tabs>
                <w:rPr>
                  <w:rFonts w:hint="eastAsia" w:eastAsiaTheme="minorEastAsia"/>
                  <w:sz w:val="28"/>
                  <w:szCs w:val="28"/>
                  <w:lang w:val="en-US" w:eastAsia="zh-CN"/>
                </w:rPr>
              </w:pPr>
              <w:r>
                <w:rPr>
                  <w:rFonts w:hint="eastAsia" w:ascii="微软雅黑" w:hAnsi="微软雅黑" w:eastAsia="微软雅黑" w:cs="微软雅黑"/>
                  <w:sz w:val="32"/>
                  <w:szCs w:val="32"/>
                </w:rPr>
                <w:fldChar w:fldCharType="end"/>
              </w:r>
            </w:p>
            <w:p>
              <w:pPr>
                <w:pStyle w:val="17"/>
                <w:tabs>
                  <w:tab w:val="right" w:leader="dot" w:pos="8312"/>
                </w:tabs>
                <w:rPr>
                  <w:sz w:val="28"/>
                  <w:szCs w:val="28"/>
                </w:rPr>
              </w:pPr>
            </w:p>
            <w:p>
              <w:pPr>
                <w:pStyle w:val="17"/>
                <w:tabs>
                  <w:tab w:val="right" w:leader="dot" w:pos="8312"/>
                </w:tabs>
              </w:pPr>
            </w:p>
            <w:p>
              <w:pPr>
                <w:pStyle w:val="17"/>
                <w:tabs>
                  <w:tab w:val="right" w:leader="dot" w:pos="8312"/>
                </w:tabs>
              </w:pPr>
            </w:p>
            <w:p>
              <w:pPr>
                <w:rPr>
                  <w:rFonts w:hint="eastAsia" w:ascii="宋体" w:hAnsi="宋体" w:eastAsia="宋体" w:cs="方正粗黑宋简体"/>
                  <w:b/>
                  <w:bCs/>
                  <w:sz w:val="48"/>
                  <w:szCs w:val="48"/>
                </w:rPr>
              </w:pPr>
              <w:r>
                <w:fldChar w:fldCharType="end"/>
              </w:r>
            </w:p>
          </w:sdtContent>
        </w:sdt>
        <w:p/>
      </w:sdtContent>
    </w:sd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3"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3"/>
        </w:numPr>
        <w:spacing w:before="312" w:after="312"/>
        <w:ind w:firstLine="0"/>
        <w:rPr>
          <w:rFonts w:ascii="Times New Roman" w:hAnsi="Times New Roman" w:eastAsia="宋体" w:cs="Times New Roman"/>
        </w:rPr>
      </w:pPr>
      <w:bookmarkStart w:id="0" w:name="_Toc8119"/>
      <w:bookmarkStart w:id="1" w:name="_Toc11867"/>
      <w:r>
        <w:rPr>
          <w:rFonts w:hint="eastAsia" w:ascii="Times New Roman" w:hAnsi="Times New Roman" w:eastAsia="宋体" w:cs="Times New Roman"/>
          <w:lang w:eastAsia="zh-CN"/>
        </w:rPr>
        <w:t>采购</w:t>
      </w:r>
      <w:r>
        <w:rPr>
          <w:rFonts w:ascii="Times New Roman" w:hAnsi="Times New Roman" w:eastAsia="宋体" w:cs="Times New Roman"/>
        </w:rPr>
        <w:t>公告</w:t>
      </w:r>
      <w:bookmarkEnd w:id="0"/>
    </w:p>
    <w:p>
      <w:pPr>
        <w:pStyle w:val="6"/>
        <w:snapToGrid w:val="0"/>
        <w:spacing w:before="120" w:after="120" w:line="240" w:lineRule="auto"/>
        <w:ind w:firstLine="403"/>
        <w:rPr>
          <w:rFonts w:ascii="Times New Roman" w:hAnsi="Times New Roman" w:eastAsia="黑体" w:cs="Times New Roman"/>
          <w:bCs w:val="0"/>
          <w:sz w:val="22"/>
          <w:szCs w:val="15"/>
        </w:rPr>
      </w:pPr>
      <w:bookmarkStart w:id="2" w:name="_Toc24354_WPSOffice_Level2"/>
      <w:bookmarkStart w:id="3" w:name="_Toc4489_WPSOffice_Level2"/>
      <w:bookmarkStart w:id="4" w:name="_Toc13871"/>
      <w:bookmarkStart w:id="5" w:name="_Toc525632585"/>
      <w:bookmarkStart w:id="6" w:name="_Toc6496_WPSOffice_Level2"/>
      <w:bookmarkStart w:id="7" w:name="_Toc12765"/>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安徽省经工建设集团有限公司  </w:t>
      </w:r>
      <w:r>
        <w:rPr>
          <w:rFonts w:hint="eastAsia" w:ascii="Times New Roman" w:hAnsi="Times New Roman" w:cs="Times New Roman"/>
          <w:szCs w:val="22"/>
          <w:u w:val="single"/>
        </w:rPr>
        <w:t xml:space="preserve"> </w:t>
      </w:r>
    </w:p>
    <w:p>
      <w:pPr>
        <w:snapToGrid w:val="0"/>
        <w:spacing w:line="440" w:lineRule="exact"/>
        <w:ind w:firstLine="420" w:firstLineChars="200"/>
        <w:rPr>
          <w:rFonts w:hint="eastAsia" w:ascii="Times New Roman" w:hAnsi="Times New Roman" w:cs="Times New Roman"/>
          <w:szCs w:val="22"/>
          <w:highlight w:val="none"/>
          <w:u w:val="single"/>
          <w:lang w:eastAsia="zh-CN"/>
        </w:rPr>
      </w:pPr>
      <w:r>
        <w:rPr>
          <w:rFonts w:ascii="Times New Roman" w:hAnsi="Times New Roman" w:cs="Times New Roman"/>
          <w:szCs w:val="22"/>
        </w:rPr>
        <w:t>1.3 项目概况：</w:t>
      </w:r>
      <w:r>
        <w:rPr>
          <w:rFonts w:hint="eastAsia" w:ascii="Times New Roman" w:hAnsi="Times New Roman" w:cs="Times New Roman"/>
          <w:szCs w:val="22"/>
          <w:u w:val="single"/>
          <w:lang w:val="en-US" w:eastAsia="zh-CN"/>
        </w:rPr>
        <w:t xml:space="preserve"> </w:t>
      </w:r>
      <w:r>
        <w:rPr>
          <w:rFonts w:hint="eastAsia" w:ascii="Times New Roman" w:hAnsi="Times New Roman" w:cs="Times New Roman"/>
          <w:szCs w:val="22"/>
          <w:highlight w:val="none"/>
          <w:u w:val="single"/>
          <w:lang w:eastAsia="zh-CN"/>
        </w:rPr>
        <w:t>阜阳紫阳华苑项目</w:t>
      </w:r>
      <w:r>
        <w:rPr>
          <w:rFonts w:hint="eastAsia" w:ascii="Times New Roman" w:hAnsi="Times New Roman" w:cs="Times New Roman"/>
          <w:szCs w:val="22"/>
          <w:highlight w:val="none"/>
          <w:u w:val="single"/>
          <w:lang w:val="en-US" w:eastAsia="zh-CN"/>
        </w:rPr>
        <w:t>PC预制构件，具体详见图纸、招标文件及工程量清单、界面划分。</w:t>
      </w:r>
    </w:p>
    <w:p>
      <w:pPr>
        <w:pStyle w:val="6"/>
        <w:snapToGrid w:val="0"/>
        <w:spacing w:before="120" w:after="120" w:line="240" w:lineRule="auto"/>
        <w:ind w:firstLine="403"/>
        <w:rPr>
          <w:rFonts w:ascii="Times New Roman" w:hAnsi="Times New Roman" w:eastAsia="黑体" w:cs="Times New Roman"/>
          <w:bCs w:val="0"/>
          <w:sz w:val="22"/>
          <w:szCs w:val="15"/>
        </w:rPr>
      </w:pPr>
      <w:bookmarkStart w:id="9" w:name="_Toc10274"/>
      <w:bookmarkStart w:id="10" w:name="_Toc8128_WPSOffice_Level2"/>
      <w:bookmarkStart w:id="11" w:name="_Toc525632586"/>
      <w:bookmarkStart w:id="12" w:name="_Toc18453"/>
      <w:bookmarkStart w:id="13" w:name="_Toc18367_WPSOffice_Level2"/>
      <w:bookmarkStart w:id="14" w:name="_Toc17858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hint="eastAsia" w:ascii="Times New Roman" w:hAnsi="Times New Roman" w:cs="Times New Roman"/>
          <w:b/>
          <w:bCs/>
          <w:szCs w:val="22"/>
          <w:u w:val="single"/>
          <w:lang w:val="en-US" w:eastAsia="zh-CN"/>
        </w:rPr>
        <w:t>询比采购</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pPr>
        <w:snapToGrid w:val="0"/>
        <w:spacing w:line="440" w:lineRule="exact"/>
        <w:ind w:firstLine="420" w:firstLineChars="200"/>
        <w:rPr>
          <w:rFonts w:hint="default" w:ascii="Times New Roman" w:hAnsi="Times New Roman" w:cs="Times New Roman" w:eastAsiaTheme="minorEastAsia"/>
          <w:kern w:val="2"/>
          <w:sz w:val="21"/>
          <w:szCs w:val="22"/>
          <w:u w:val="single"/>
          <w:lang w:val="en-US" w:eastAsia="zh-CN" w:bidi="ar-SA"/>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阜阳紫阳华苑项目</w:t>
      </w:r>
      <w:r>
        <w:rPr>
          <w:rFonts w:hint="eastAsia" w:ascii="Times New Roman" w:hAnsi="Times New Roman" w:cs="Times New Roman"/>
          <w:szCs w:val="22"/>
          <w:u w:val="single"/>
          <w:lang w:val="en-US" w:eastAsia="zh-CN"/>
        </w:rPr>
        <w:t>PC预制构件</w:t>
      </w:r>
      <w:r>
        <w:rPr>
          <w:rFonts w:hint="eastAsia" w:ascii="Times New Roman" w:hAnsi="Times New Roman" w:cs="Times New Roman"/>
          <w:szCs w:val="22"/>
          <w:u w:val="single"/>
          <w:lang w:eastAsia="zh-CN"/>
        </w:rPr>
        <w:t>采购</w:t>
      </w:r>
      <w:r>
        <w:rPr>
          <w:rFonts w:hint="eastAsia" w:ascii="Times New Roman" w:hAnsi="Times New Roman" w:cs="Times New Roman"/>
          <w:szCs w:val="22"/>
          <w:u w:val="single"/>
          <w:lang w:val="en-US" w:eastAsia="zh-CN"/>
        </w:rPr>
        <w:t>。</w:t>
      </w:r>
    </w:p>
    <w:p>
      <w:pPr>
        <w:snapToGrid w:val="0"/>
        <w:spacing w:line="440" w:lineRule="exact"/>
        <w:ind w:firstLine="420" w:firstLineChars="200"/>
        <w:rPr>
          <w:rFonts w:hint="eastAsia" w:ascii="Times New Roman" w:hAnsi="Times New Roman" w:cs="Times New Roman"/>
          <w:szCs w:val="22"/>
          <w:u w:val="none"/>
          <w:lang w:val="en-US"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lang w:val="en-US" w:eastAsia="zh-CN"/>
        </w:rPr>
        <w:t>1个包段</w:t>
      </w:r>
      <w:bookmarkEnd w:id="18"/>
    </w:p>
    <w:p>
      <w:pPr>
        <w:snapToGrid w:val="0"/>
        <w:spacing w:line="440" w:lineRule="exact"/>
        <w:ind w:firstLine="420" w:firstLineChars="200"/>
        <w:rPr>
          <w:rFonts w:hint="default"/>
          <w:b/>
          <w:bCs/>
          <w:highlight w:val="none"/>
          <w:lang w:val="en-US" w:eastAsia="zh-CN"/>
        </w:rPr>
      </w:pPr>
      <w:r>
        <w:rPr>
          <w:rFonts w:hint="eastAsia" w:ascii="Times New Roman" w:hAnsi="Times New Roman" w:cs="Times New Roman"/>
          <w:b/>
          <w:bCs/>
          <w:szCs w:val="22"/>
          <w:highlight w:val="none"/>
        </w:rPr>
        <w:t>2.</w:t>
      </w:r>
      <w:r>
        <w:rPr>
          <w:rFonts w:hint="eastAsia" w:ascii="Times New Roman" w:hAnsi="Times New Roman" w:cs="Times New Roman"/>
          <w:b/>
          <w:bCs/>
          <w:szCs w:val="22"/>
          <w:highlight w:val="none"/>
          <w:lang w:val="en-US" w:eastAsia="zh-CN"/>
        </w:rPr>
        <w:t>5 最高投标限价</w:t>
      </w:r>
      <w:r>
        <w:rPr>
          <w:rFonts w:ascii="Times New Roman" w:hAnsi="Times New Roman" w:cs="Times New Roman"/>
          <w:b/>
          <w:bCs/>
          <w:szCs w:val="22"/>
          <w:highlight w:val="none"/>
          <w:u w:val="single"/>
        </w:rPr>
        <w:t>：</w:t>
      </w:r>
      <w:r>
        <w:rPr>
          <w:rFonts w:hint="eastAsia" w:ascii="Times New Roman" w:hAnsi="Times New Roman" w:cs="Times New Roman"/>
          <w:b/>
          <w:bCs/>
          <w:szCs w:val="22"/>
          <w:highlight w:val="none"/>
          <w:u w:val="single"/>
          <w:lang w:val="en-US" w:eastAsia="zh-CN"/>
        </w:rPr>
        <w:t>2500元/m³</w:t>
      </w:r>
    </w:p>
    <w:p>
      <w:pPr>
        <w:snapToGrid w:val="0"/>
        <w:spacing w:line="440" w:lineRule="exact"/>
        <w:ind w:firstLine="420" w:firstLineChars="200"/>
        <w:rPr>
          <w:rFonts w:hint="default" w:ascii="Times New Roman" w:hAnsi="Times New Roman" w:cs="Times New Roman" w:eastAsiaTheme="minorEastAsia"/>
          <w:szCs w:val="22"/>
          <w:highlight w:val="non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ascii="Times New Roman" w:hAnsi="Times New Roman" w:cs="Times New Roman"/>
          <w:szCs w:val="22"/>
        </w:rPr>
        <w:t>具体开工日期以招标人或监理人的书面或口头通知为准</w:t>
      </w:r>
    </w:p>
    <w:p>
      <w:pPr>
        <w:pStyle w:val="6"/>
        <w:snapToGrid w:val="0"/>
        <w:spacing w:before="120" w:after="120" w:line="240" w:lineRule="auto"/>
        <w:ind w:firstLine="403"/>
        <w:rPr>
          <w:rFonts w:ascii="Times New Roman" w:hAnsi="Times New Roman" w:eastAsia="黑体" w:cs="Times New Roman"/>
          <w:bCs w:val="0"/>
          <w:sz w:val="22"/>
          <w:szCs w:val="15"/>
        </w:rPr>
      </w:pPr>
      <w:bookmarkStart w:id="19" w:name="_Toc29516_WPSOffice_Level2"/>
      <w:bookmarkStart w:id="20" w:name="_Toc6388"/>
      <w:bookmarkStart w:id="21" w:name="_Toc22379_WPSOffice_Level2"/>
      <w:bookmarkStart w:id="22" w:name="_Toc31673_WPSOffice_Level2"/>
      <w:bookmarkStart w:id="23" w:name="_Toc1622_WPSOffice_Level2"/>
      <w:bookmarkStart w:id="24" w:name="_Toc525632587"/>
      <w:bookmarkStart w:id="25" w:name="_Toc3714"/>
      <w:r>
        <w:rPr>
          <w:rFonts w:ascii="Times New Roman" w:hAnsi="Times New Roman" w:eastAsia="黑体" w:cs="Times New Roman"/>
          <w:bCs w:val="0"/>
          <w:sz w:val="22"/>
          <w:szCs w:val="15"/>
        </w:rPr>
        <w:t>供应商</w:t>
      </w:r>
      <w:r>
        <w:rPr>
          <w:rFonts w:hint="eastAsia" w:ascii="Times New Roman" w:hAnsi="Times New Roman" w:eastAsia="黑体" w:cs="Times New Roman"/>
          <w:bCs w:val="0"/>
          <w:sz w:val="22"/>
          <w:szCs w:val="15"/>
        </w:rPr>
        <w:t>资审</w:t>
      </w:r>
      <w:r>
        <w:rPr>
          <w:rFonts w:ascii="Times New Roman" w:hAnsi="Times New Roman" w:eastAsia="黑体" w:cs="Times New Roman"/>
          <w:bCs w:val="0"/>
          <w:sz w:val="22"/>
          <w:szCs w:val="15"/>
        </w:rPr>
        <w:t>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rPr>
          <w:rFonts w:ascii="Times New Roman" w:hAnsi="Times New Roman" w:cs="Times New Roman"/>
          <w:b/>
          <w:bCs/>
          <w:szCs w:val="22"/>
          <w:highlight w:val="none"/>
        </w:rPr>
      </w:pPr>
      <w:r>
        <w:rPr>
          <w:rFonts w:ascii="Times New Roman" w:hAnsi="Times New Roman" w:cs="Times New Roman"/>
          <w:b/>
          <w:bCs/>
          <w:szCs w:val="22"/>
        </w:rPr>
        <w:t>（1）资质最低要求：</w:t>
      </w:r>
    </w:p>
    <w:p>
      <w:pPr>
        <w:snapToGrid w:val="0"/>
        <w:spacing w:line="480" w:lineRule="exact"/>
        <w:ind w:firstLine="630" w:firstLineChars="300"/>
        <w:rPr>
          <w:rFonts w:ascii="Times New Roman" w:hAnsi="Times New Roman" w:cs="Times New Roman"/>
          <w:color w:val="auto"/>
          <w:szCs w:val="22"/>
          <w:highlight w:val="none"/>
          <w:u w:val="none"/>
        </w:rPr>
      </w:pPr>
      <w:r>
        <w:rPr>
          <w:rFonts w:ascii="Times New Roman" w:hAnsi="Times New Roman" w:cs="Times New Roman"/>
          <w:szCs w:val="22"/>
          <w:highlight w:val="none"/>
        </w:rPr>
        <w:t>①具备独立法人资格，持有有效的营业执照</w:t>
      </w:r>
      <w:r>
        <w:rPr>
          <w:rFonts w:hint="eastAsia" w:ascii="Times New Roman" w:hAnsi="Times New Roman" w:cs="Times New Roman"/>
          <w:color w:val="auto"/>
          <w:szCs w:val="22"/>
          <w:highlight w:val="none"/>
          <w:u w:val="none"/>
          <w:lang w:val="en-US" w:eastAsia="zh-CN"/>
        </w:rPr>
        <w:t>。</w:t>
      </w:r>
    </w:p>
    <w:p>
      <w:pPr>
        <w:numPr>
          <w:ilvl w:val="255"/>
          <w:numId w:val="0"/>
        </w:numPr>
        <w:snapToGrid w:val="0"/>
        <w:spacing w:line="440" w:lineRule="exact"/>
        <w:ind w:firstLine="420" w:firstLineChars="200"/>
        <w:rPr>
          <w:rFonts w:ascii="Times New Roman" w:hAnsi="Times New Roman" w:cs="Times New Roman"/>
          <w:b/>
          <w:bCs/>
          <w:szCs w:val="22"/>
        </w:rPr>
      </w:pPr>
      <w:r>
        <w:rPr>
          <w:rFonts w:hint="eastAsia" w:ascii="Times New Roman" w:hAnsi="Times New Roman" w:cs="Times New Roman"/>
          <w:b/>
          <w:bCs/>
          <w:szCs w:val="22"/>
        </w:rPr>
        <w:t>（</w:t>
      </w:r>
      <w:r>
        <w:rPr>
          <w:rFonts w:hint="eastAsia" w:ascii="Times New Roman" w:hAnsi="Times New Roman" w:cs="Times New Roman"/>
          <w:b/>
          <w:bCs/>
          <w:szCs w:val="22"/>
          <w:lang w:val="en-US" w:eastAsia="zh-CN"/>
        </w:rPr>
        <w:t>2</w:t>
      </w:r>
      <w:r>
        <w:rPr>
          <w:rFonts w:hint="eastAsia" w:ascii="Times New Roman" w:hAnsi="Times New Roman" w:cs="Times New Roman"/>
          <w:b/>
          <w:bCs/>
          <w:szCs w:val="22"/>
        </w:rPr>
        <w:t>）</w:t>
      </w:r>
      <w:r>
        <w:rPr>
          <w:rFonts w:ascii="Times New Roman" w:hAnsi="Times New Roman" w:cs="Times New Roman"/>
          <w:b/>
          <w:bCs/>
          <w:szCs w:val="22"/>
        </w:rPr>
        <w:t>信誉最低要求：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p>
    <w:p>
      <w:pPr>
        <w:snapToGrid w:val="0"/>
        <w:spacing w:line="440" w:lineRule="exact"/>
        <w:ind w:firstLine="420" w:firstLineChars="200"/>
        <w:rPr>
          <w:rFonts w:hint="eastAsia" w:ascii="Times New Roman" w:hAnsi="Times New Roman"/>
        </w:rPr>
      </w:pPr>
      <w:r>
        <w:rPr>
          <w:rFonts w:hint="eastAsia" w:ascii="Times New Roman" w:hAnsi="Times New Roman"/>
        </w:rPr>
        <w:t>⑥其他要求：</w:t>
      </w:r>
      <w:r>
        <w:rPr>
          <w:rFonts w:hint="eastAsia" w:ascii="Times New Roman" w:hAnsi="Times New Roman"/>
          <w:u w:val="single"/>
        </w:rPr>
        <w:t>_______/_______</w:t>
      </w:r>
      <w:r>
        <w:rPr>
          <w:rFonts w:hint="eastAsia" w:ascii="Times New Roman" w:hAnsi="Times New Roman"/>
        </w:rPr>
        <w:t>。</w:t>
      </w:r>
    </w:p>
    <w:p>
      <w:pPr>
        <w:keepNext w:val="0"/>
        <w:keepLines w:val="0"/>
        <w:pageBreakBefore w:val="0"/>
        <w:numPr>
          <w:ilvl w:val="255"/>
          <w:numId w:val="0"/>
        </w:numPr>
        <w:kinsoku/>
        <w:wordWrap/>
        <w:overflowPunct/>
        <w:topLinePunct w:val="0"/>
        <w:autoSpaceDE/>
        <w:autoSpaceDN/>
        <w:bidi w:val="0"/>
        <w:adjustRightInd/>
        <w:snapToGrid w:val="0"/>
        <w:spacing w:line="288" w:lineRule="auto"/>
        <w:ind w:firstLine="420" w:firstLineChars="200"/>
        <w:textAlignment w:val="auto"/>
        <w:rPr>
          <w:rFonts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3</w:t>
      </w: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eastAsia="zh-CN"/>
        </w:rPr>
        <w:t>年生产能力</w:t>
      </w:r>
      <w:r>
        <w:rPr>
          <w:rFonts w:ascii="Times New Roman" w:hAnsi="Times New Roman" w:cs="Times New Roman"/>
          <w:b/>
          <w:bCs/>
          <w:color w:val="auto"/>
          <w:szCs w:val="22"/>
        </w:rPr>
        <w:t>最低要求：</w:t>
      </w:r>
    </w:p>
    <w:p>
      <w:pPr>
        <w:pStyle w:val="2"/>
        <w:keepNext w:val="0"/>
        <w:keepLines w:val="0"/>
        <w:pageBreakBefore w:val="0"/>
        <w:kinsoku/>
        <w:wordWrap/>
        <w:overflowPunct/>
        <w:topLinePunct w:val="0"/>
        <w:autoSpaceDE/>
        <w:autoSpaceDN/>
        <w:bidi w:val="0"/>
        <w:adjustRightInd/>
        <w:spacing w:line="288" w:lineRule="auto"/>
        <w:textAlignment w:val="auto"/>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年生产预制构件量不得低于</w:t>
      </w:r>
      <w:r>
        <w:rPr>
          <w:rFonts w:hint="eastAsia" w:ascii="Times New Roman" w:hAnsi="Times New Roman" w:cs="Times New Roman"/>
          <w:color w:val="auto"/>
          <w:kern w:val="2"/>
          <w:sz w:val="21"/>
          <w:szCs w:val="22"/>
          <w:lang w:val="en-US" w:eastAsia="zh-CN" w:bidi="ar-SA"/>
        </w:rPr>
        <w:t>3</w:t>
      </w:r>
      <w:r>
        <w:rPr>
          <w:rFonts w:hint="eastAsia" w:ascii="Times New Roman" w:hAnsi="Times New Roman" w:cs="Times New Roman" w:eastAsiaTheme="minorEastAsia"/>
          <w:color w:val="auto"/>
          <w:kern w:val="2"/>
          <w:sz w:val="21"/>
          <w:szCs w:val="22"/>
          <w:lang w:val="en-US" w:eastAsia="zh-CN" w:bidi="ar-SA"/>
        </w:rPr>
        <w:t>0万立方米</w:t>
      </w:r>
    </w:p>
    <w:p>
      <w:pPr>
        <w:pStyle w:val="20"/>
        <w:keepNext w:val="0"/>
        <w:keepLines w:val="0"/>
        <w:pageBreakBefore w:val="0"/>
        <w:widowControl/>
        <w:suppressLineNumbers w:val="0"/>
        <w:kinsoku/>
        <w:wordWrap/>
        <w:overflowPunct/>
        <w:topLinePunct w:val="0"/>
        <w:autoSpaceDE/>
        <w:autoSpaceDN/>
        <w:bidi w:val="0"/>
        <w:adjustRightInd/>
        <w:spacing w:before="0" w:beforeAutospacing="0" w:after="0" w:afterAutospacing="0" w:line="288" w:lineRule="auto"/>
        <w:ind w:left="0" w:right="0" w:firstLine="420" w:firstLineChars="200"/>
        <w:textAlignment w:val="auto"/>
        <w:rPr>
          <w:color w:val="auto"/>
        </w:rPr>
      </w:pPr>
      <w:r>
        <w:rPr>
          <w:rFonts w:hint="eastAsia" w:ascii="Times New Roman" w:hAnsi="Times New Roman" w:cs="Times New Roman" w:eastAsiaTheme="minorEastAsia"/>
          <w:color w:val="auto"/>
          <w:kern w:val="2"/>
          <w:sz w:val="21"/>
          <w:szCs w:val="22"/>
          <w:lang w:val="en-US" w:eastAsia="zh-CN" w:bidi="ar-SA"/>
        </w:rPr>
        <w:t>（①须提供年生产预制构件量的相关证明，否则作为无效业绩）</w:t>
      </w:r>
    </w:p>
    <w:p>
      <w:pPr>
        <w:numPr>
          <w:ilvl w:val="255"/>
          <w:numId w:val="0"/>
        </w:numPr>
        <w:snapToGrid w:val="0"/>
        <w:spacing w:line="440" w:lineRule="exact"/>
        <w:ind w:firstLine="420" w:firstLineChars="200"/>
        <w:rPr>
          <w:rFonts w:hint="eastAsia" w:ascii="Times New Roman" w:hAnsi="Times New Roman" w:cs="Times New Roman"/>
          <w:b/>
          <w:bCs/>
          <w:color w:val="auto"/>
          <w:szCs w:val="22"/>
        </w:rPr>
      </w:pPr>
      <w:r>
        <w:rPr>
          <w:rFonts w:hint="eastAsia" w:ascii="Times New Roman" w:hAnsi="Times New Roman" w:cs="Times New Roman"/>
          <w:b/>
          <w:bCs/>
          <w:color w:val="auto"/>
          <w:szCs w:val="22"/>
        </w:rPr>
        <w:t>（</w:t>
      </w:r>
      <w:r>
        <w:rPr>
          <w:rFonts w:hint="eastAsia" w:ascii="Times New Roman" w:hAnsi="Times New Roman" w:cs="Times New Roman"/>
          <w:b/>
          <w:bCs/>
          <w:color w:val="auto"/>
          <w:szCs w:val="22"/>
          <w:lang w:val="en-US" w:eastAsia="zh-CN"/>
        </w:rPr>
        <w:t>4</w:t>
      </w:r>
      <w:r>
        <w:rPr>
          <w:rFonts w:hint="eastAsia" w:ascii="Times New Roman" w:hAnsi="Times New Roman" w:cs="Times New Roman"/>
          <w:b/>
          <w:bCs/>
          <w:color w:val="auto"/>
          <w:szCs w:val="22"/>
        </w:rPr>
        <w:t>）业绩最低要求：</w:t>
      </w:r>
    </w:p>
    <w:p>
      <w:pPr>
        <w:snapToGrid w:val="0"/>
        <w:spacing w:line="440" w:lineRule="exact"/>
        <w:ind w:firstLine="420" w:firstLineChars="200"/>
        <w:rPr>
          <w:rFonts w:ascii="Times New Roman" w:hAnsi="Times New Roman" w:cs="Times New Roman"/>
          <w:b/>
          <w:bCs/>
          <w:color w:val="auto"/>
          <w:szCs w:val="22"/>
          <w:highlight w:val="none"/>
          <w:u w:val="single"/>
        </w:rPr>
      </w:pPr>
      <w:r>
        <w:rPr>
          <w:rFonts w:ascii="Times New Roman" w:hAnsi="Times New Roman" w:cs="Times New Roman"/>
          <w:b/>
          <w:bCs/>
          <w:color w:val="auto"/>
          <w:szCs w:val="22"/>
          <w:highlight w:val="none"/>
        </w:rPr>
        <w:t>近</w:t>
      </w:r>
      <w:r>
        <w:rPr>
          <w:rFonts w:hint="eastAsia" w:ascii="Times New Roman" w:hAnsi="Times New Roman" w:cs="Times New Roman"/>
          <w:b/>
          <w:bCs/>
          <w:color w:val="auto"/>
          <w:szCs w:val="22"/>
          <w:highlight w:val="none"/>
          <w:u w:val="single"/>
        </w:rPr>
        <w:t xml:space="preserve"> 3 </w:t>
      </w:r>
      <w:r>
        <w:rPr>
          <w:rFonts w:ascii="Times New Roman" w:hAnsi="Times New Roman" w:cs="Times New Roman"/>
          <w:b/>
          <w:bCs/>
          <w:color w:val="auto"/>
          <w:szCs w:val="22"/>
          <w:highlight w:val="none"/>
        </w:rPr>
        <w:t>年（指</w:t>
      </w:r>
      <w:r>
        <w:rPr>
          <w:rFonts w:hint="eastAsia" w:ascii="Times New Roman" w:hAnsi="Times New Roman" w:cs="Times New Roman"/>
          <w:b/>
          <w:bCs/>
          <w:color w:val="auto"/>
          <w:szCs w:val="22"/>
          <w:highlight w:val="none"/>
          <w:u w:val="single"/>
        </w:rPr>
        <w:t>2019</w:t>
      </w:r>
      <w:r>
        <w:rPr>
          <w:rFonts w:ascii="Times New Roman" w:hAnsi="Times New Roman" w:cs="Times New Roman"/>
          <w:b/>
          <w:bCs/>
          <w:color w:val="auto"/>
          <w:szCs w:val="22"/>
          <w:highlight w:val="none"/>
        </w:rPr>
        <w:t>年</w:t>
      </w:r>
      <w:r>
        <w:rPr>
          <w:rFonts w:hint="eastAsia" w:ascii="Times New Roman" w:hAnsi="Times New Roman" w:cs="Times New Roman"/>
          <w:b/>
          <w:bCs/>
          <w:color w:val="auto"/>
          <w:szCs w:val="22"/>
          <w:highlight w:val="none"/>
          <w:u w:val="single"/>
        </w:rPr>
        <w:t xml:space="preserve"> 6 </w:t>
      </w:r>
      <w:r>
        <w:rPr>
          <w:rFonts w:ascii="Times New Roman" w:hAnsi="Times New Roman" w:cs="Times New Roman"/>
          <w:b/>
          <w:bCs/>
          <w:color w:val="auto"/>
          <w:szCs w:val="22"/>
          <w:highlight w:val="none"/>
        </w:rPr>
        <w:t>月</w:t>
      </w:r>
      <w:r>
        <w:rPr>
          <w:rFonts w:hint="eastAsia" w:ascii="Times New Roman" w:hAnsi="Times New Roman" w:cs="Times New Roman"/>
          <w:b/>
          <w:bCs/>
          <w:color w:val="auto"/>
          <w:szCs w:val="22"/>
          <w:highlight w:val="none"/>
          <w:u w:val="single"/>
        </w:rPr>
        <w:t xml:space="preserve"> 1 </w:t>
      </w:r>
      <w:r>
        <w:rPr>
          <w:rFonts w:ascii="Times New Roman" w:hAnsi="Times New Roman" w:cs="Times New Roman"/>
          <w:b/>
          <w:bCs/>
          <w:color w:val="auto"/>
          <w:szCs w:val="22"/>
          <w:highlight w:val="none"/>
        </w:rPr>
        <w:t>日至响应文件递交截止日期，以</w:t>
      </w:r>
      <w:r>
        <w:rPr>
          <w:rFonts w:hint="eastAsia" w:ascii="Times New Roman" w:hAnsi="Times New Roman" w:cs="Times New Roman"/>
          <w:b/>
          <w:bCs/>
          <w:color w:val="auto"/>
          <w:szCs w:val="22"/>
          <w:highlight w:val="none"/>
        </w:rPr>
        <w:t>合同签订</w:t>
      </w:r>
      <w:r>
        <w:rPr>
          <w:rFonts w:ascii="Times New Roman" w:hAnsi="Times New Roman" w:cs="Times New Roman"/>
          <w:b/>
          <w:bCs/>
          <w:color w:val="auto"/>
          <w:szCs w:val="22"/>
          <w:highlight w:val="none"/>
        </w:rPr>
        <w:t>时间为准）具备3</w:t>
      </w:r>
      <w:r>
        <w:rPr>
          <w:rFonts w:hint="eastAsia" w:ascii="Times New Roman" w:hAnsi="Times New Roman" w:cs="Times New Roman"/>
          <w:b/>
          <w:bCs/>
          <w:color w:val="auto"/>
          <w:szCs w:val="22"/>
          <w:highlight w:val="none"/>
        </w:rPr>
        <w:t>个</w:t>
      </w:r>
      <w:r>
        <w:rPr>
          <w:rFonts w:hint="eastAsia" w:ascii="Times New Roman" w:hAnsi="Times New Roman" w:cs="Times New Roman"/>
          <w:b/>
          <w:bCs/>
          <w:color w:val="auto"/>
          <w:szCs w:val="22"/>
          <w:highlight w:val="none"/>
          <w:u w:val="single"/>
        </w:rPr>
        <w:t>合同</w:t>
      </w:r>
      <w:r>
        <w:rPr>
          <w:rFonts w:hint="eastAsia" w:ascii="Times New Roman" w:hAnsi="Times New Roman" w:cs="Times New Roman"/>
          <w:b/>
          <w:bCs/>
          <w:color w:val="auto"/>
          <w:szCs w:val="22"/>
          <w:highlight w:val="none"/>
          <w:u w:val="single"/>
          <w:lang w:eastAsia="zh-CN"/>
        </w:rPr>
        <w:t>额</w:t>
      </w:r>
      <w:r>
        <w:rPr>
          <w:rFonts w:hint="eastAsia" w:ascii="Times New Roman" w:hAnsi="Times New Roman" w:cs="Times New Roman"/>
          <w:b/>
          <w:bCs/>
          <w:color w:val="auto"/>
          <w:szCs w:val="22"/>
          <w:highlight w:val="none"/>
          <w:u w:val="single"/>
          <w:lang w:val="en-US" w:eastAsia="zh-CN"/>
        </w:rPr>
        <w:t>3</w:t>
      </w:r>
      <w:r>
        <w:rPr>
          <w:rFonts w:hint="eastAsia" w:ascii="Times New Roman" w:hAnsi="Times New Roman" w:cs="Times New Roman"/>
          <w:b/>
          <w:bCs/>
          <w:color w:val="auto"/>
          <w:szCs w:val="22"/>
          <w:highlight w:val="none"/>
          <w:u w:val="single"/>
        </w:rPr>
        <w:t>0</w:t>
      </w:r>
      <w:r>
        <w:rPr>
          <w:rFonts w:hint="eastAsia" w:ascii="Times New Roman" w:hAnsi="Times New Roman" w:cs="Times New Roman"/>
          <w:b/>
          <w:bCs/>
          <w:color w:val="auto"/>
          <w:szCs w:val="22"/>
          <w:highlight w:val="none"/>
          <w:u w:val="single"/>
          <w:lang w:val="en-US" w:eastAsia="zh-CN"/>
        </w:rPr>
        <w:t>0</w:t>
      </w:r>
      <w:r>
        <w:rPr>
          <w:rFonts w:hint="eastAsia" w:ascii="Times New Roman" w:hAnsi="Times New Roman" w:cs="Times New Roman"/>
          <w:b/>
          <w:bCs/>
          <w:color w:val="auto"/>
          <w:szCs w:val="22"/>
          <w:highlight w:val="none"/>
          <w:u w:val="single"/>
        </w:rPr>
        <w:t>0万元及以上</w:t>
      </w:r>
      <w:r>
        <w:rPr>
          <w:rFonts w:hint="eastAsia" w:ascii="Times New Roman" w:hAnsi="Times New Roman" w:cs="Times New Roman"/>
          <w:b/>
          <w:bCs/>
          <w:color w:val="auto"/>
          <w:szCs w:val="22"/>
          <w:highlight w:val="none"/>
          <w:u w:val="single"/>
          <w:lang w:val="en-US" w:eastAsia="zh-CN"/>
        </w:rPr>
        <w:t>装配式PC构件采购</w:t>
      </w:r>
      <w:r>
        <w:rPr>
          <w:rFonts w:ascii="Times New Roman" w:hAnsi="Times New Roman" w:cs="Times New Roman"/>
          <w:b/>
          <w:bCs/>
          <w:color w:val="auto"/>
          <w:szCs w:val="22"/>
          <w:highlight w:val="none"/>
          <w:u w:val="single"/>
        </w:rPr>
        <w:t>业绩。</w:t>
      </w:r>
    </w:p>
    <w:p>
      <w:pPr>
        <w:pStyle w:val="20"/>
        <w:keepNext w:val="0"/>
        <w:keepLines w:val="0"/>
        <w:widowControl/>
        <w:suppressLineNumbers w:val="0"/>
        <w:spacing w:before="0" w:beforeAutospacing="0" w:after="0" w:afterAutospacing="0"/>
        <w:ind w:left="0" w:right="0" w:firstLine="0"/>
        <w:rPr>
          <w:rFonts w:hint="eastAsia"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①时间以合同签订时间为准；②业绩证明材料须提供∶合同协议书的复印件；③合同内容无法体现项目金额、项目内容、合同签订时间等评审所需要素的，须提供该项目业主开具的相关证明，否则作为无效业绩。）</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Cs w:val="0"/>
          <w:sz w:val="22"/>
          <w:szCs w:val="15"/>
        </w:rPr>
      </w:pPr>
      <w:bookmarkStart w:id="26" w:name="_Toc1994"/>
      <w:bookmarkStart w:id="27" w:name="_Toc4109_WPSOffice_Level2"/>
      <w:bookmarkStart w:id="28" w:name="_Toc29452_WPSOffice_Level2"/>
      <w:bookmarkStart w:id="29" w:name="_Toc4751"/>
      <w:bookmarkStart w:id="30" w:name="_Toc525632588"/>
      <w:bookmarkStart w:id="31" w:name="_Toc2996_WPSOffice_Level2"/>
      <w:bookmarkStart w:id="32" w:name="_Toc25666_WPSOffice_Level2"/>
      <w:r>
        <w:rPr>
          <w:rFonts w:hint="eastAsia" w:ascii="Times New Roman" w:hAnsi="Times New Roman" w:eastAsia="黑体" w:cs="Times New Roman"/>
          <w:bCs w:val="0"/>
          <w:sz w:val="22"/>
          <w:szCs w:val="15"/>
          <w:lang w:val="en-US" w:eastAsia="zh-CN"/>
        </w:rPr>
        <w:t>招标</w:t>
      </w:r>
      <w:r>
        <w:rPr>
          <w:rFonts w:hint="eastAsia" w:ascii="Times New Roman" w:hAnsi="Times New Roman" w:eastAsia="黑体" w:cs="Times New Roman"/>
          <w:bCs w:val="0"/>
          <w:sz w:val="22"/>
          <w:szCs w:val="15"/>
        </w:rPr>
        <w:t>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pStyle w:val="31"/>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eastAsiaTheme="minorEastAsia"/>
          <w:color w:val="auto"/>
          <w:kern w:val="2"/>
          <w:sz w:val="21"/>
          <w:szCs w:val="22"/>
          <w:lang w:val="en-US" w:eastAsia="zh-CN" w:bidi="ar-SA"/>
        </w:rPr>
      </w:pPr>
      <w:bookmarkStart w:id="33" w:name="_Toc726"/>
      <w:bookmarkStart w:id="34" w:name="_Toc525632589"/>
      <w:r>
        <w:rPr>
          <w:rFonts w:hint="eastAsia" w:ascii="Times New Roman" w:hAnsi="Times New Roman" w:cs="Times New Roman" w:eastAsiaTheme="minorEastAsia"/>
          <w:color w:val="auto"/>
          <w:kern w:val="2"/>
          <w:sz w:val="21"/>
          <w:szCs w:val="22"/>
          <w:lang w:val="en-US" w:eastAsia="zh-CN" w:bidi="ar-SA"/>
        </w:rPr>
        <w:t>供应商应在递交响应文件的截止时间前登录安徽省经工建设集团有限公司网站（http://www.ahjggroup.com/），选择所参加的项目，自行下载招标文件及相关资料，未在规定网站下载招标文件的，后续将不予接受其响应文件。</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响应文件的递交</w:t>
      </w:r>
      <w:bookmarkEnd w:id="33"/>
      <w:bookmarkEnd w:id="34"/>
    </w:p>
    <w:p>
      <w:pPr>
        <w:snapToGrid w:val="0"/>
        <w:spacing w:line="440" w:lineRule="exact"/>
        <w:ind w:firstLine="367" w:firstLineChars="175"/>
        <w:rPr>
          <w:rFonts w:hint="eastAsia" w:ascii="Times New Roman" w:hAnsi="Times New Roman" w:cs="Times New Roman" w:eastAsiaTheme="minorEastAsia"/>
          <w:b/>
          <w:bCs/>
          <w:szCs w:val="22"/>
          <w:highlight w:val="none"/>
          <w:lang w:eastAsia="zh-CN"/>
        </w:rPr>
      </w:pPr>
      <w:r>
        <w:rPr>
          <w:rFonts w:ascii="Times New Roman" w:hAnsi="Times New Roman" w:cs="Times New Roman"/>
          <w:b/>
          <w:bCs/>
          <w:szCs w:val="22"/>
          <w:highlight w:val="green"/>
        </w:rPr>
        <w:t>响应文件递交的截止时间为</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rPr>
        <w:t xml:space="preserve">2022 </w:t>
      </w:r>
      <w:r>
        <w:rPr>
          <w:rFonts w:ascii="Times New Roman" w:hAnsi="Times New Roman" w:cs="Times New Roman"/>
          <w:b/>
          <w:bCs/>
          <w:szCs w:val="22"/>
          <w:highlight w:val="green"/>
        </w:rPr>
        <w:t>年</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12 </w:t>
      </w:r>
      <w:r>
        <w:rPr>
          <w:rFonts w:ascii="Times New Roman" w:hAnsi="Times New Roman" w:cs="Times New Roman"/>
          <w:b/>
          <w:bCs/>
          <w:szCs w:val="22"/>
          <w:highlight w:val="green"/>
        </w:rPr>
        <w:t>月</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14 </w:t>
      </w:r>
      <w:r>
        <w:rPr>
          <w:rFonts w:ascii="Times New Roman" w:hAnsi="Times New Roman" w:cs="Times New Roman"/>
          <w:b/>
          <w:bCs/>
          <w:szCs w:val="22"/>
          <w:highlight w:val="green"/>
        </w:rPr>
        <w:t>日</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10 </w:t>
      </w:r>
      <w:r>
        <w:rPr>
          <w:rFonts w:hint="eastAsia" w:ascii="Times New Roman" w:hAnsi="Times New Roman" w:cs="Times New Roman"/>
          <w:b/>
          <w:bCs/>
          <w:szCs w:val="22"/>
          <w:highlight w:val="green"/>
          <w:u w:val="single"/>
        </w:rPr>
        <w:t xml:space="preserve"> </w:t>
      </w:r>
      <w:r>
        <w:rPr>
          <w:rFonts w:ascii="Times New Roman" w:hAnsi="Times New Roman" w:cs="Times New Roman"/>
          <w:b/>
          <w:bCs/>
          <w:szCs w:val="22"/>
          <w:highlight w:val="green"/>
        </w:rPr>
        <w:t>时</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00 </w:t>
      </w:r>
      <w:r>
        <w:rPr>
          <w:rFonts w:ascii="Times New Roman" w:hAnsi="Times New Roman" w:cs="Times New Roman"/>
          <w:b/>
          <w:bCs/>
          <w:szCs w:val="22"/>
          <w:highlight w:val="green"/>
        </w:rPr>
        <w:t>分，供应商的法定代表人或其授权代理人应于</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rPr>
        <w:t xml:space="preserve">2022 </w:t>
      </w:r>
      <w:r>
        <w:rPr>
          <w:rFonts w:ascii="Times New Roman" w:hAnsi="Times New Roman" w:cs="Times New Roman"/>
          <w:b/>
          <w:bCs/>
          <w:szCs w:val="22"/>
          <w:highlight w:val="green"/>
        </w:rPr>
        <w:t>年</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12 </w:t>
      </w:r>
      <w:r>
        <w:rPr>
          <w:rFonts w:ascii="Times New Roman" w:hAnsi="Times New Roman" w:cs="Times New Roman"/>
          <w:b/>
          <w:bCs/>
          <w:szCs w:val="22"/>
          <w:highlight w:val="green"/>
        </w:rPr>
        <w:t>月</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14 </w:t>
      </w:r>
      <w:r>
        <w:rPr>
          <w:rFonts w:ascii="Times New Roman" w:hAnsi="Times New Roman" w:cs="Times New Roman"/>
          <w:b/>
          <w:bCs/>
          <w:szCs w:val="22"/>
          <w:highlight w:val="green"/>
          <w:u w:val="single"/>
        </w:rPr>
        <w:t xml:space="preserve"> </w:t>
      </w:r>
      <w:r>
        <w:rPr>
          <w:rFonts w:ascii="Times New Roman" w:hAnsi="Times New Roman" w:cs="Times New Roman"/>
          <w:b/>
          <w:bCs/>
          <w:szCs w:val="22"/>
          <w:highlight w:val="green"/>
        </w:rPr>
        <w:t>日</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9  </w:t>
      </w:r>
      <w:r>
        <w:rPr>
          <w:rFonts w:ascii="Times New Roman" w:hAnsi="Times New Roman" w:cs="Times New Roman"/>
          <w:b/>
          <w:bCs/>
          <w:szCs w:val="22"/>
          <w:highlight w:val="green"/>
        </w:rPr>
        <w:t>时</w:t>
      </w:r>
      <w:r>
        <w:rPr>
          <w:rFonts w:ascii="Times New Roman" w:hAnsi="Times New Roman" w:cs="Times New Roman"/>
          <w:b/>
          <w:bCs/>
          <w:szCs w:val="22"/>
          <w:highlight w:val="green"/>
          <w:u w:val="single"/>
        </w:rPr>
        <w:t xml:space="preserve"> </w:t>
      </w:r>
      <w:r>
        <w:rPr>
          <w:rFonts w:hint="eastAsia" w:ascii="Times New Roman" w:hAnsi="Times New Roman" w:cs="Times New Roman"/>
          <w:b/>
          <w:bCs/>
          <w:szCs w:val="22"/>
          <w:highlight w:val="green"/>
          <w:u w:val="single"/>
          <w:lang w:val="en-US" w:eastAsia="zh-CN"/>
        </w:rPr>
        <w:t xml:space="preserve"> 30</w:t>
      </w:r>
      <w:r>
        <w:rPr>
          <w:rFonts w:hint="eastAsia" w:ascii="Times New Roman" w:hAnsi="Times New Roman" w:cs="Times New Roman"/>
          <w:b/>
          <w:bCs/>
          <w:szCs w:val="22"/>
          <w:highlight w:val="green"/>
          <w:u w:val="single"/>
        </w:rPr>
        <w:t xml:space="preserve"> </w:t>
      </w:r>
      <w:r>
        <w:rPr>
          <w:rFonts w:ascii="Times New Roman" w:hAnsi="Times New Roman" w:cs="Times New Roman"/>
          <w:b/>
          <w:bCs/>
          <w:szCs w:val="22"/>
          <w:highlight w:val="green"/>
        </w:rPr>
        <w:t>分</w:t>
      </w:r>
      <w:r>
        <w:rPr>
          <w:rFonts w:hint="eastAsia" w:ascii="Times New Roman" w:hAnsi="Times New Roman" w:cs="Times New Roman"/>
          <w:b/>
          <w:bCs/>
          <w:szCs w:val="22"/>
          <w:highlight w:val="green"/>
        </w:rPr>
        <w:t>至</w:t>
      </w:r>
      <w:r>
        <w:rPr>
          <w:rFonts w:ascii="Times New Roman" w:hAnsi="Times New Roman" w:cs="Times New Roman"/>
          <w:b/>
          <w:bCs/>
          <w:szCs w:val="22"/>
          <w:highlight w:val="green"/>
        </w:rPr>
        <w:t>递交的截止时间前将响应文件</w:t>
      </w:r>
      <w:r>
        <w:rPr>
          <w:rFonts w:hint="eastAsia" w:ascii="Times New Roman" w:hAnsi="Times New Roman" w:cs="Times New Roman"/>
          <w:b/>
          <w:bCs/>
          <w:szCs w:val="22"/>
          <w:highlight w:val="green"/>
        </w:rPr>
        <w:t>递交至安徽省经工建设集团有限公司</w:t>
      </w:r>
      <w:r>
        <w:rPr>
          <w:rFonts w:hint="eastAsia" w:ascii="Times New Roman" w:hAnsi="Times New Roman" w:cs="Times New Roman"/>
          <w:b/>
          <w:bCs/>
          <w:szCs w:val="22"/>
          <w:highlight w:val="green"/>
          <w:lang w:val="en-US" w:eastAsia="zh-CN"/>
        </w:rPr>
        <w:t>10</w:t>
      </w:r>
      <w:r>
        <w:rPr>
          <w:rFonts w:hint="eastAsia" w:ascii="Times New Roman" w:hAnsi="Times New Roman" w:cs="Times New Roman"/>
          <w:b/>
          <w:bCs/>
          <w:szCs w:val="22"/>
          <w:highlight w:val="green"/>
        </w:rPr>
        <w:t>楼</w:t>
      </w:r>
      <w:r>
        <w:rPr>
          <w:rFonts w:hint="eastAsia" w:ascii="Times New Roman" w:hAnsi="Times New Roman" w:cs="Times New Roman"/>
          <w:b/>
          <w:bCs/>
          <w:szCs w:val="22"/>
          <w:highlight w:val="green"/>
          <w:lang w:val="en-US" w:eastAsia="zh-CN"/>
        </w:rPr>
        <w:t>1008室。</w:t>
      </w:r>
    </w:p>
    <w:p>
      <w:pPr>
        <w:pStyle w:val="6"/>
        <w:snapToGrid w:val="0"/>
        <w:spacing w:before="120" w:after="120" w:line="240" w:lineRule="auto"/>
        <w:ind w:firstLine="403"/>
        <w:rPr>
          <w:rFonts w:ascii="Times New Roman" w:hAnsi="Times New Roman" w:eastAsia="黑体" w:cs="Times New Roman"/>
          <w:bCs w:val="0"/>
          <w:sz w:val="22"/>
          <w:szCs w:val="15"/>
          <w:highlight w:val="none"/>
        </w:rPr>
      </w:pPr>
      <w:bookmarkStart w:id="35" w:name="_Toc22719"/>
      <w:bookmarkStart w:id="36" w:name="_Toc525632591"/>
      <w:r>
        <w:rPr>
          <w:rFonts w:ascii="Times New Roman" w:hAnsi="Times New Roman" w:eastAsia="黑体" w:cs="Times New Roman"/>
          <w:bCs w:val="0"/>
          <w:sz w:val="22"/>
          <w:szCs w:val="15"/>
          <w:highlight w:val="none"/>
        </w:rPr>
        <w:t>响应文件启封</w:t>
      </w:r>
    </w:p>
    <w:p>
      <w:pPr>
        <w:pStyle w:val="6"/>
        <w:numPr>
          <w:ilvl w:val="0"/>
          <w:numId w:val="0"/>
        </w:numPr>
        <w:snapToGrid w:val="0"/>
        <w:spacing w:line="480" w:lineRule="exact"/>
        <w:ind w:firstLine="420" w:firstLineChars="200"/>
        <w:jc w:val="left"/>
        <w:rPr>
          <w:rFonts w:hint="eastAsia" w:ascii="Times New Roman" w:hAnsi="Times New Roman" w:cs="Times New Roman" w:eastAsiaTheme="minorEastAsia"/>
          <w:b w:val="0"/>
          <w:bCs w:val="0"/>
          <w:kern w:val="2"/>
          <w:sz w:val="21"/>
          <w:szCs w:val="22"/>
          <w:highlight w:val="yellow"/>
          <w:lang w:val="en-US" w:eastAsia="zh-CN" w:bidi="ar-SA"/>
        </w:rPr>
      </w:pPr>
      <w:r>
        <w:rPr>
          <w:rFonts w:hint="eastAsia" w:ascii="Times New Roman" w:hAnsi="Times New Roman" w:cs="Times New Roman" w:eastAsiaTheme="minorEastAsia"/>
          <w:b w:val="0"/>
          <w:bCs w:val="0"/>
          <w:kern w:val="2"/>
          <w:sz w:val="21"/>
          <w:szCs w:val="22"/>
          <w:highlight w:val="none"/>
          <w:lang w:val="en-US" w:eastAsia="zh-CN" w:bidi="ar-SA"/>
        </w:rPr>
        <w:t>响应文件的递交时间截止后，采购人将于安徽省经工建设集团有限公司组织进行响应文件的启封。供应商的法定代表人或授权代理人应携带本人身份证、授权代理人应携带授权委托书准时参加启封会议。</w:t>
      </w:r>
    </w:p>
    <w:p>
      <w:pPr>
        <w:pStyle w:val="6"/>
        <w:snapToGrid w:val="0"/>
        <w:spacing w:before="120" w:after="120" w:line="24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bookmarkEnd w:id="35"/>
    <w:bookmarkEnd w:id="36"/>
    <w:p>
      <w:pPr>
        <w:snapToGrid w:val="0"/>
        <w:spacing w:line="400" w:lineRule="exact"/>
        <w:ind w:firstLine="440" w:firstLineChars="200"/>
        <w:rPr>
          <w:rFonts w:hint="eastAsia"/>
          <w:sz w:val="22"/>
          <w:szCs w:val="21"/>
          <w:highlight w:val="green"/>
          <w:lang w:val="en-US" w:eastAsia="zh-CN"/>
        </w:rPr>
      </w:pPr>
      <w:bookmarkStart w:id="37" w:name="_Toc525632592"/>
      <w:bookmarkStart w:id="38" w:name="_Toc14943_WPSOffice_Level2"/>
      <w:bookmarkStart w:id="39" w:name="_Toc20572_WPSOffice_Level2"/>
      <w:bookmarkStart w:id="40" w:name="_Toc321_WPSOffice_Level2"/>
      <w:bookmarkStart w:id="41" w:name="_Toc26829"/>
      <w:bookmarkStart w:id="42" w:name="_Toc8501"/>
      <w:bookmarkStart w:id="43" w:name="_Toc28571_WPSOffice_Level2"/>
      <w:r>
        <w:rPr>
          <w:rFonts w:hint="eastAsia"/>
          <w:sz w:val="22"/>
          <w:szCs w:val="21"/>
        </w:rPr>
        <w:t>响应保证金的金额：</w:t>
      </w:r>
      <w:r>
        <w:rPr>
          <w:rFonts w:hint="eastAsia"/>
          <w:sz w:val="22"/>
          <w:szCs w:val="21"/>
          <w:highlight w:val="none"/>
          <w:u w:val="single"/>
        </w:rPr>
        <w:t xml:space="preserve"> </w:t>
      </w:r>
      <w:r>
        <w:rPr>
          <w:rFonts w:hint="eastAsia"/>
          <w:sz w:val="22"/>
          <w:szCs w:val="21"/>
          <w:highlight w:val="none"/>
          <w:u w:val="single"/>
          <w:lang w:val="en-US" w:eastAsia="zh-CN"/>
        </w:rPr>
        <w:t>50</w:t>
      </w:r>
      <w:r>
        <w:rPr>
          <w:rFonts w:hint="eastAsia"/>
          <w:sz w:val="22"/>
          <w:szCs w:val="21"/>
          <w:highlight w:val="none"/>
          <w:u w:val="single"/>
        </w:rPr>
        <w:t>000元</w:t>
      </w:r>
      <w:r>
        <w:rPr>
          <w:rFonts w:hint="eastAsia"/>
          <w:sz w:val="22"/>
          <w:szCs w:val="21"/>
          <w:highlight w:val="none"/>
          <w:u w:val="single"/>
          <w:lang w:val="en-US" w:eastAsia="zh-CN"/>
        </w:rPr>
        <w:t xml:space="preserve"> </w:t>
      </w:r>
    </w:p>
    <w:p>
      <w:pPr>
        <w:snapToGrid w:val="0"/>
        <w:spacing w:line="400" w:lineRule="exact"/>
        <w:ind w:firstLine="440" w:firstLineChars="200"/>
        <w:rPr>
          <w:rFonts w:hint="eastAsia"/>
          <w:sz w:val="22"/>
          <w:szCs w:val="21"/>
        </w:rPr>
      </w:pPr>
      <w:r>
        <w:rPr>
          <w:rFonts w:hint="eastAsia"/>
          <w:sz w:val="22"/>
          <w:szCs w:val="21"/>
        </w:rPr>
        <w:t>响应保证金的递交形式：</w:t>
      </w:r>
      <w:r>
        <w:rPr>
          <w:rFonts w:hint="eastAsia"/>
          <w:sz w:val="22"/>
          <w:szCs w:val="21"/>
          <w:lang w:val="en-US" w:eastAsia="zh-CN"/>
        </w:rPr>
        <w:t>银行</w:t>
      </w:r>
      <w:r>
        <w:rPr>
          <w:rFonts w:hint="eastAsia"/>
          <w:sz w:val="22"/>
          <w:szCs w:val="21"/>
        </w:rPr>
        <w:t>转账</w:t>
      </w:r>
      <w:r>
        <w:rPr>
          <w:rFonts w:hint="eastAsia"/>
          <w:sz w:val="22"/>
          <w:szCs w:val="21"/>
          <w:lang w:val="en-US" w:eastAsia="zh-CN"/>
        </w:rPr>
        <w:t>或</w:t>
      </w:r>
      <w:r>
        <w:rPr>
          <w:rFonts w:hint="eastAsia"/>
          <w:sz w:val="22"/>
          <w:szCs w:val="21"/>
          <w:lang w:eastAsia="zh-CN"/>
        </w:rPr>
        <w:t xml:space="preserve">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lang w:eastAsia="zh-CN"/>
        </w:rPr>
      </w:pPr>
      <w:r>
        <w:rPr>
          <w:rFonts w:hint="eastAsia" w:ascii="宋体" w:hAnsi="宋体" w:eastAsia="宋体" w:cs="宋体"/>
          <w:b/>
          <w:bCs/>
          <w:color w:val="000000"/>
          <w:kern w:val="0"/>
          <w:sz w:val="24"/>
          <w:szCs w:val="24"/>
          <w:highlight w:val="none"/>
        </w:rPr>
        <w:t>名    称：</w:t>
      </w:r>
      <w:r>
        <w:rPr>
          <w:rFonts w:hint="eastAsia" w:ascii="宋体" w:hAnsi="宋体" w:eastAsia="宋体" w:cs="宋体"/>
          <w:b/>
          <w:bCs/>
          <w:color w:val="000000"/>
          <w:kern w:val="0"/>
          <w:sz w:val="24"/>
          <w:szCs w:val="24"/>
          <w:highlight w:val="none"/>
          <w:lang w:eastAsia="zh-CN"/>
        </w:rPr>
        <w:t>安徽省经工建设集团有限公司</w:t>
      </w:r>
    </w:p>
    <w:p>
      <w:pPr>
        <w:snapToGrid w:val="0"/>
        <w:spacing w:line="480" w:lineRule="exact"/>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开户银行：工行合肥</w:t>
      </w:r>
      <w:r>
        <w:rPr>
          <w:rFonts w:hint="eastAsia" w:ascii="宋体" w:hAnsi="宋体" w:eastAsia="宋体" w:cs="宋体"/>
          <w:b/>
          <w:bCs/>
          <w:color w:val="auto"/>
          <w:kern w:val="0"/>
          <w:sz w:val="24"/>
          <w:szCs w:val="24"/>
          <w:highlight w:val="none"/>
          <w:lang w:eastAsia="zh-CN"/>
        </w:rPr>
        <w:t>东</w:t>
      </w:r>
      <w:r>
        <w:rPr>
          <w:rFonts w:hint="eastAsia" w:ascii="宋体" w:hAnsi="宋体" w:eastAsia="宋体" w:cs="宋体"/>
          <w:b/>
          <w:bCs/>
          <w:color w:val="auto"/>
          <w:kern w:val="0"/>
          <w:sz w:val="24"/>
          <w:szCs w:val="24"/>
          <w:highlight w:val="none"/>
        </w:rPr>
        <w:t>陈岗支行</w:t>
      </w:r>
    </w:p>
    <w:p>
      <w:pPr>
        <w:snapToGrid w:val="0"/>
        <w:spacing w:line="480" w:lineRule="exact"/>
        <w:ind w:firstLine="480"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账    号：1302012109026700213</w:t>
      </w:r>
    </w:p>
    <w:p>
      <w:pPr>
        <w:pStyle w:val="2"/>
        <w:spacing w:line="360" w:lineRule="auto"/>
        <w:ind w:left="0" w:leftChars="0" w:firstLine="440" w:firstLineChars="200"/>
        <w:rPr>
          <w:rFonts w:hint="eastAsia"/>
        </w:rPr>
      </w:pPr>
      <w:r>
        <w:rPr>
          <w:rFonts w:hint="eastAsia" w:asciiTheme="minorHAnsi" w:hAnsiTheme="minorHAnsi" w:eastAsiaTheme="minorEastAsia" w:cstheme="minorBidi"/>
          <w:b/>
          <w:bCs/>
          <w:kern w:val="2"/>
          <w:sz w:val="22"/>
          <w:szCs w:val="21"/>
          <w:lang w:val="en-US" w:eastAsia="zh-CN" w:bidi="ar-SA"/>
        </w:rPr>
        <w:t>中标后，中标人</w:t>
      </w:r>
      <w:r>
        <w:rPr>
          <w:rFonts w:hint="eastAsia" w:asciiTheme="minorHAnsi" w:hAnsiTheme="minorHAnsi" w:cstheme="minorBidi"/>
          <w:b/>
          <w:bCs/>
          <w:kern w:val="2"/>
          <w:sz w:val="22"/>
          <w:szCs w:val="21"/>
          <w:lang w:val="en-US" w:eastAsia="zh-CN" w:bidi="ar-SA"/>
        </w:rPr>
        <w:t>缴纳</w:t>
      </w:r>
      <w:r>
        <w:rPr>
          <w:rFonts w:hint="eastAsia" w:asciiTheme="minorHAnsi" w:hAnsiTheme="minorHAnsi" w:eastAsiaTheme="minorEastAsia" w:cstheme="minorBidi"/>
          <w:b/>
          <w:bCs/>
          <w:kern w:val="2"/>
          <w:sz w:val="22"/>
          <w:szCs w:val="21"/>
          <w:lang w:val="en-US" w:eastAsia="zh-CN" w:bidi="ar-SA"/>
        </w:rPr>
        <w:t>履约保证金</w:t>
      </w:r>
      <w:r>
        <w:rPr>
          <w:rFonts w:hint="eastAsia" w:asciiTheme="minorHAnsi" w:hAnsiTheme="minorHAnsi" w:cstheme="minorBidi"/>
          <w:b/>
          <w:bCs/>
          <w:kern w:val="2"/>
          <w:sz w:val="22"/>
          <w:szCs w:val="21"/>
          <w:u w:val="single"/>
          <w:lang w:val="en-US" w:eastAsia="zh-CN" w:bidi="ar-SA"/>
        </w:rPr>
        <w:t>100</w:t>
      </w:r>
      <w:r>
        <w:rPr>
          <w:rFonts w:hint="eastAsia" w:asciiTheme="minorHAnsi" w:hAnsiTheme="minorHAnsi" w:eastAsiaTheme="minorEastAsia" w:cstheme="minorBidi"/>
          <w:b/>
          <w:bCs/>
          <w:kern w:val="2"/>
          <w:sz w:val="22"/>
          <w:szCs w:val="21"/>
          <w:u w:val="single"/>
          <w:lang w:val="en-US" w:eastAsia="zh-CN" w:bidi="ar-SA"/>
        </w:rPr>
        <w:t>0</w:t>
      </w:r>
      <w:r>
        <w:rPr>
          <w:rFonts w:hint="eastAsia" w:asciiTheme="minorHAnsi" w:hAnsiTheme="minorHAnsi" w:eastAsiaTheme="minorEastAsia" w:cstheme="minorBidi"/>
          <w:b/>
          <w:bCs/>
          <w:kern w:val="2"/>
          <w:sz w:val="22"/>
          <w:szCs w:val="21"/>
          <w:u w:val="single"/>
          <w:lang w:val="en-US" w:eastAsia="en-US" w:bidi="ar-SA"/>
        </w:rPr>
        <w:t>00.00</w:t>
      </w:r>
      <w:r>
        <w:rPr>
          <w:rFonts w:hint="eastAsia" w:asciiTheme="minorHAnsi" w:hAnsiTheme="minorHAnsi" w:eastAsiaTheme="minorEastAsia" w:cstheme="minorBidi"/>
          <w:b/>
          <w:bCs/>
          <w:kern w:val="2"/>
          <w:sz w:val="22"/>
          <w:szCs w:val="21"/>
          <w:u w:val="single"/>
          <w:lang w:val="en-US" w:eastAsia="zh-CN" w:bidi="ar-SA"/>
        </w:rPr>
        <w:t>元（</w:t>
      </w:r>
      <w:r>
        <w:rPr>
          <w:rFonts w:hint="eastAsia" w:asciiTheme="minorHAnsi" w:hAnsiTheme="minorHAnsi" w:eastAsiaTheme="minorEastAsia" w:cstheme="minorBidi"/>
          <w:b/>
          <w:bCs/>
          <w:kern w:val="2"/>
          <w:sz w:val="22"/>
          <w:szCs w:val="21"/>
          <w:lang w:val="en-US" w:eastAsia="zh-CN" w:bidi="ar-SA"/>
        </w:rPr>
        <w:t>大写：</w:t>
      </w:r>
      <w:r>
        <w:rPr>
          <w:rFonts w:hint="eastAsia" w:asciiTheme="minorHAnsi" w:hAnsiTheme="minorHAnsi" w:cstheme="minorBidi"/>
          <w:b/>
          <w:bCs/>
          <w:kern w:val="2"/>
          <w:sz w:val="22"/>
          <w:szCs w:val="21"/>
          <w:lang w:val="en-US" w:eastAsia="zh-CN" w:bidi="ar-SA"/>
        </w:rPr>
        <w:t>壹拾</w:t>
      </w:r>
      <w:r>
        <w:rPr>
          <w:rFonts w:hint="eastAsia" w:asciiTheme="minorHAnsi" w:hAnsiTheme="minorHAnsi" w:eastAsiaTheme="minorEastAsia" w:cstheme="minorBidi"/>
          <w:b/>
          <w:bCs/>
          <w:kern w:val="2"/>
          <w:sz w:val="22"/>
          <w:szCs w:val="21"/>
          <w:lang w:val="en-US" w:eastAsia="zh-CN" w:bidi="ar-SA"/>
        </w:rPr>
        <w:t>万整）</w:t>
      </w:r>
    </w:p>
    <w:p>
      <w:pPr>
        <w:snapToGrid w:val="0"/>
        <w:spacing w:line="400" w:lineRule="exact"/>
        <w:ind w:firstLine="440" w:firstLineChars="200"/>
        <w:rPr>
          <w:rFonts w:hint="eastAsia"/>
          <w:sz w:val="22"/>
          <w:szCs w:val="21"/>
        </w:rPr>
      </w:pPr>
      <w:r>
        <w:rPr>
          <w:rFonts w:hint="eastAsia"/>
          <w:sz w:val="22"/>
          <w:szCs w:val="21"/>
        </w:rPr>
        <w:t>递交截止时间：响应截止日期前</w:t>
      </w:r>
    </w:p>
    <w:p>
      <w:pPr>
        <w:pStyle w:val="6"/>
        <w:snapToGrid w:val="0"/>
        <w:spacing w:before="120" w:after="120" w:line="240" w:lineRule="auto"/>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widowControl/>
        <w:spacing w:line="480" w:lineRule="exact"/>
        <w:ind w:firstLine="420" w:firstLineChars="200"/>
        <w:jc w:val="left"/>
        <w:rPr>
          <w:rFonts w:ascii="Times New Roman" w:hAnsi="Times New Roman" w:eastAsia="宋体" w:cs="Times New Roman"/>
          <w:kern w:val="0"/>
          <w:szCs w:val="21"/>
        </w:rPr>
      </w:pPr>
      <w:r>
        <w:rPr>
          <w:rFonts w:ascii="Times New Roman" w:hAnsi="Times New Roman" w:cs="Times New Roman"/>
          <w:szCs w:val="22"/>
        </w:rPr>
        <w:t>采 购 人：</w:t>
      </w:r>
      <w:r>
        <w:rPr>
          <w:rFonts w:hint="eastAsia" w:ascii="Times New Roman" w:hAnsi="Times New Roman" w:cs="Times New Roman"/>
          <w:szCs w:val="22"/>
          <w:u w:val="single"/>
          <w:lang w:val="en-US" w:eastAsia="zh-CN"/>
        </w:rPr>
        <w:t>安徽省经工建设集团有限公司</w:t>
      </w:r>
      <w:r>
        <w:rPr>
          <w:rFonts w:hint="eastAsia"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lang w:eastAsia="zh-CN"/>
        </w:rPr>
        <w:t>安徽省</w:t>
      </w:r>
      <w:r>
        <w:rPr>
          <w:rFonts w:hint="eastAsia" w:ascii="Times New Roman" w:hAnsi="Times New Roman" w:cs="Times New Roman"/>
          <w:szCs w:val="22"/>
          <w:u w:val="single"/>
        </w:rPr>
        <w:t>合肥市包河区西藏路1</w:t>
      </w:r>
      <w:r>
        <w:rPr>
          <w:rFonts w:hint="eastAsia" w:ascii="Times New Roman" w:hAnsi="Times New Roman" w:cs="Times New Roman"/>
          <w:szCs w:val="22"/>
          <w:u w:val="single"/>
          <w:lang w:val="en-US" w:eastAsia="zh-CN"/>
        </w:rPr>
        <w:t>666</w:t>
      </w:r>
      <w:r>
        <w:rPr>
          <w:rFonts w:hint="eastAsia" w:ascii="Times New Roman" w:hAnsi="Times New Roman" w:cs="Times New Roman"/>
          <w:szCs w:val="22"/>
          <w:u w:val="single"/>
        </w:rPr>
        <w:t>号滨湖时代广场C</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栋10层</w:t>
      </w:r>
      <w:r>
        <w:rPr>
          <w:rFonts w:hint="eastAsia" w:ascii="Times New Roman" w:hAnsi="Times New Roman" w:cs="Times New Roman"/>
          <w:szCs w:val="22"/>
          <w:u w:val="single"/>
          <w:lang w:val="en-US" w:eastAsia="zh-CN"/>
        </w:rPr>
        <w:t>1008</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hint="default" w:ascii="Times New Roman" w:hAnsi="Times New Roman" w:eastAsia="宋体" w:cs="Times New Roman"/>
          <w:i w:val="0"/>
          <w:iCs w:val="0"/>
          <w:caps w:val="0"/>
          <w:spacing w:val="0"/>
          <w:sz w:val="21"/>
          <w:szCs w:val="21"/>
          <w:u w:val="single"/>
          <w:shd w:val="clear" w:fill="FFFFFF"/>
        </w:rPr>
        <w:t>230000</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hint="eastAsia" w:ascii="宋体" w:hAnsi="宋体" w:eastAsia="宋体" w:cs="宋体"/>
          <w:i w:val="0"/>
          <w:iCs w:val="0"/>
          <w:caps w:val="0"/>
          <w:spacing w:val="0"/>
          <w:sz w:val="21"/>
          <w:szCs w:val="21"/>
          <w:u w:val="single"/>
          <w:shd w:val="clear" w:fill="FFFFFF"/>
          <w:lang w:val="en-US" w:eastAsia="zh-CN"/>
        </w:rPr>
        <w:t>周  工</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default" w:ascii="Times New Roman" w:hAnsi="Times New Roman" w:eastAsia="Segoe UI" w:cs="Times New Roman"/>
          <w:i w:val="0"/>
          <w:iCs w:val="0"/>
          <w:caps w:val="0"/>
          <w:spacing w:val="0"/>
          <w:sz w:val="21"/>
          <w:szCs w:val="21"/>
          <w:u w:val="single"/>
          <w:shd w:val="clear" w:fill="FFFFFF"/>
        </w:rPr>
        <w:t> </w:t>
      </w:r>
      <w:r>
        <w:rPr>
          <w:rFonts w:hint="eastAsia" w:ascii="Times New Roman" w:hAnsi="Times New Roman" w:cs="Times New Roman"/>
          <w:szCs w:val="22"/>
          <w:u w:val="single"/>
          <w:lang w:val="en-US" w:eastAsia="zh-CN"/>
        </w:rPr>
        <w:t xml:space="preserve">15256975552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p>
    <w:p>
      <w:pPr>
        <w:pStyle w:val="3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rPr>
          <w:rFonts w:hint="default" w:ascii="Times New Roman" w:hAnsi="Times New Roman"/>
          <w:color w:val="auto"/>
          <w:sz w:val="21"/>
          <w:szCs w:val="22"/>
          <w:u w:val="none"/>
        </w:rPr>
      </w:pPr>
      <w:r>
        <w:rPr>
          <w:rFonts w:hint="default" w:ascii="Times New Roman" w:hAnsi="Times New Roman"/>
          <w:color w:val="auto"/>
          <w:sz w:val="21"/>
          <w:szCs w:val="22"/>
          <w:u w:val="none"/>
        </w:rPr>
        <w:br w:type="page"/>
      </w:r>
    </w:p>
    <w:bookmarkEnd w:id="1"/>
    <w:p>
      <w:pPr>
        <w:pStyle w:val="5"/>
        <w:numPr>
          <w:ilvl w:val="0"/>
          <w:numId w:val="0"/>
        </w:numPr>
        <w:jc w:val="center"/>
        <w:outlineLvl w:val="9"/>
        <w:rPr>
          <w:rFonts w:hint="eastAsia" w:ascii="宋体" w:hAnsi="宋体" w:eastAsia="宋体"/>
          <w:b/>
          <w:bCs/>
          <w:sz w:val="36"/>
          <w:szCs w:val="36"/>
          <w:lang w:eastAsia="zh-CN"/>
        </w:rPr>
      </w:pPr>
      <w:bookmarkStart w:id="44" w:name="_Toc535337434"/>
      <w:bookmarkStart w:id="45" w:name="_Toc11394"/>
      <w:bookmarkStart w:id="46" w:name="_Toc27251"/>
      <w:bookmarkStart w:id="47" w:name="_Toc17121"/>
      <w:r>
        <w:rPr>
          <w:rFonts w:hint="eastAsia" w:ascii="宋体" w:hAnsi="宋体" w:eastAsia="宋体"/>
          <w:b/>
          <w:bCs/>
          <w:sz w:val="36"/>
          <w:szCs w:val="36"/>
          <w:lang w:val="en-US" w:eastAsia="zh-CN"/>
        </w:rPr>
        <w:t xml:space="preserve">第二章 </w:t>
      </w:r>
      <w:bookmarkEnd w:id="44"/>
      <w:r>
        <w:rPr>
          <w:rFonts w:hint="eastAsia" w:ascii="宋体" w:hAnsi="宋体" w:eastAsia="宋体"/>
          <w:b/>
          <w:bCs/>
          <w:sz w:val="36"/>
          <w:szCs w:val="36"/>
          <w:lang w:val="en-US" w:eastAsia="zh-CN"/>
        </w:rPr>
        <w:t xml:space="preserve"> 投标人须知附表</w:t>
      </w:r>
    </w:p>
    <w:bookmarkEnd w:id="45"/>
    <w:tbl>
      <w:tblPr>
        <w:tblStyle w:val="24"/>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5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4"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条款号</w:t>
            </w:r>
          </w:p>
        </w:tc>
        <w:tc>
          <w:tcPr>
            <w:tcW w:w="2655"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名  称</w:t>
            </w:r>
          </w:p>
        </w:tc>
        <w:tc>
          <w:tcPr>
            <w:tcW w:w="5842"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w:t>
            </w:r>
          </w:p>
        </w:tc>
        <w:tc>
          <w:tcPr>
            <w:tcW w:w="5842" w:type="dxa"/>
            <w:vAlign w:val="center"/>
          </w:tcPr>
          <w:p>
            <w:pPr>
              <w:spacing w:line="440" w:lineRule="exact"/>
              <w:jc w:val="center"/>
              <w:rPr>
                <w:rFonts w:hint="default" w:ascii="微软雅黑" w:hAnsi="微软雅黑" w:eastAsia="微软雅黑" w:cs="微软雅黑"/>
                <w:kern w:val="0"/>
                <w:sz w:val="21"/>
                <w:szCs w:val="21"/>
                <w:u w:val="single"/>
                <w:lang w:val="en-US" w:eastAsia="zh-CN"/>
              </w:rPr>
            </w:pPr>
            <w:r>
              <w:rPr>
                <w:rFonts w:hint="eastAsia" w:ascii="微软雅黑" w:hAnsi="微软雅黑" w:eastAsia="微软雅黑" w:cs="微软雅黑"/>
                <w:sz w:val="21"/>
                <w:szCs w:val="21"/>
                <w:lang w:val="en-US" w:eastAsia="zh-CN"/>
              </w:rPr>
              <w:t>安徽省经工建设集团有限公司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项目名称</w:t>
            </w:r>
          </w:p>
        </w:tc>
        <w:tc>
          <w:tcPr>
            <w:tcW w:w="5842"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lang w:val="en-US" w:eastAsia="zh-CN"/>
              </w:rPr>
              <w:t>阜阳紫阳华苑项目PC预制构件采购项目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建设地点</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阜阳市颍州区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资金来源</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范围</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 期</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质量要求</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投标人资格要求</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资质条件：见第一章</w:t>
            </w:r>
          </w:p>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业绩要求：见第一章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厂家/品牌要求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踏勘现场</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不组织投标人自行踏勘，费用自理。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投标有效期</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自投标人提交投标文件截止之日起90日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2655" w:type="dxa"/>
            <w:vAlign w:val="center"/>
          </w:tcPr>
          <w:p>
            <w:pPr>
              <w:spacing w:line="440" w:lineRule="exact"/>
              <w:ind w:firstLine="630" w:firstLineChars="3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投标保证金</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hint="eastAsia"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rPr>
              <w:t>报价</w:t>
            </w:r>
            <w:r>
              <w:rPr>
                <w:rFonts w:hint="eastAsia" w:ascii="微软雅黑" w:hAnsi="微软雅黑" w:eastAsia="微软雅黑" w:cs="微软雅黑"/>
                <w:kern w:val="0"/>
                <w:sz w:val="21"/>
                <w:szCs w:val="21"/>
                <w:lang w:eastAsia="zh-CN"/>
              </w:rPr>
              <w:t>要求</w:t>
            </w:r>
          </w:p>
        </w:tc>
        <w:tc>
          <w:tcPr>
            <w:tcW w:w="5842" w:type="dxa"/>
            <w:vAlign w:val="top"/>
          </w:tcPr>
          <w:p>
            <w:pPr>
              <w:spacing w:line="440" w:lineRule="exact"/>
              <w:jc w:val="both"/>
              <w:rPr>
                <w:rFonts w:hint="eastAsia" w:ascii="微软雅黑" w:hAnsi="微软雅黑" w:eastAsia="微软雅黑" w:cs="微软雅黑"/>
                <w:b/>
                <w:bCs/>
                <w:color w:val="auto"/>
                <w:kern w:val="0"/>
                <w:sz w:val="21"/>
                <w:szCs w:val="21"/>
                <w:lang w:val="en-US" w:eastAsia="zh-CN"/>
              </w:rPr>
            </w:pPr>
            <w:r>
              <w:rPr>
                <w:rFonts w:hint="eastAsia" w:ascii="微软雅黑" w:hAnsi="微软雅黑" w:eastAsia="微软雅黑" w:cs="微软雅黑"/>
                <w:b/>
                <w:bCs/>
                <w:color w:val="auto"/>
                <w:kern w:val="0"/>
                <w:sz w:val="21"/>
                <w:szCs w:val="21"/>
                <w:lang w:val="en-US" w:eastAsia="zh-CN"/>
              </w:rPr>
              <w:t>1.</w:t>
            </w:r>
            <w:r>
              <w:rPr>
                <w:rFonts w:hint="eastAsia" w:ascii="微软雅黑" w:hAnsi="微软雅黑" w:eastAsia="微软雅黑" w:cs="微软雅黑"/>
                <w:b/>
                <w:bCs/>
                <w:color w:val="auto"/>
                <w:kern w:val="0"/>
                <w:sz w:val="21"/>
                <w:szCs w:val="21"/>
              </w:rPr>
              <w:t>本项目的报价方式为（</w:t>
            </w:r>
            <w:r>
              <w:rPr>
                <w:rFonts w:hint="eastAsia" w:ascii="微软雅黑" w:hAnsi="微软雅黑" w:eastAsia="微软雅黑" w:cs="微软雅黑"/>
                <w:b/>
                <w:bCs/>
                <w:color w:val="auto"/>
                <w:kern w:val="0"/>
                <w:sz w:val="21"/>
                <w:szCs w:val="21"/>
                <w:lang w:eastAsia="zh-CN"/>
              </w:rPr>
              <w:t>全费用固定综合单</w:t>
            </w:r>
            <w:r>
              <w:rPr>
                <w:rFonts w:hint="eastAsia" w:ascii="微软雅黑" w:hAnsi="微软雅黑" w:eastAsia="微软雅黑" w:cs="微软雅黑"/>
                <w:b/>
                <w:bCs/>
                <w:color w:val="auto"/>
                <w:kern w:val="0"/>
                <w:sz w:val="21"/>
                <w:szCs w:val="21"/>
              </w:rPr>
              <w:t>价）</w:t>
            </w:r>
          </w:p>
          <w:p>
            <w:pPr>
              <w:spacing w:line="440" w:lineRule="exact"/>
              <w:jc w:val="both"/>
              <w:rPr>
                <w:rFonts w:ascii="微软雅黑" w:hAnsi="微软雅黑" w:eastAsia="微软雅黑" w:cs="微软雅黑"/>
                <w:kern w:val="0"/>
                <w:sz w:val="21"/>
                <w:szCs w:val="21"/>
              </w:rPr>
            </w:pPr>
            <w:r>
              <w:rPr>
                <w:rFonts w:hint="eastAsia" w:ascii="微软雅黑" w:hAnsi="微软雅黑" w:eastAsia="微软雅黑" w:cs="微软雅黑"/>
                <w:b/>
                <w:bCs/>
                <w:color w:val="auto"/>
                <w:kern w:val="0"/>
                <w:sz w:val="21"/>
                <w:szCs w:val="21"/>
                <w:lang w:val="en-US" w:eastAsia="zh-CN"/>
              </w:rPr>
              <w:t>2.</w:t>
            </w:r>
            <w:r>
              <w:rPr>
                <w:rFonts w:hint="eastAsia" w:ascii="微软雅黑" w:hAnsi="微软雅黑" w:eastAsia="微软雅黑" w:cs="微软雅黑"/>
                <w:b/>
                <w:bCs/>
                <w:color w:val="auto"/>
                <w:kern w:val="0"/>
                <w:sz w:val="21"/>
                <w:szCs w:val="21"/>
              </w:rPr>
              <w:t>该合同为</w:t>
            </w:r>
            <w:r>
              <w:rPr>
                <w:rFonts w:hint="eastAsia" w:ascii="微软雅黑" w:hAnsi="微软雅黑" w:eastAsia="微软雅黑" w:cs="微软雅黑"/>
                <w:b/>
                <w:bCs/>
                <w:color w:val="auto"/>
                <w:kern w:val="0"/>
                <w:sz w:val="21"/>
                <w:szCs w:val="21"/>
                <w:lang w:eastAsia="zh-CN"/>
              </w:rPr>
              <w:t>全费用</w:t>
            </w:r>
            <w:r>
              <w:rPr>
                <w:rFonts w:hint="eastAsia" w:ascii="微软雅黑" w:hAnsi="微软雅黑" w:eastAsia="微软雅黑" w:cs="微软雅黑"/>
                <w:b/>
                <w:bCs/>
                <w:color w:val="auto"/>
                <w:kern w:val="0"/>
                <w:sz w:val="21"/>
                <w:szCs w:val="21"/>
              </w:rPr>
              <w:t>固定综合单价合同</w:t>
            </w:r>
            <w:r>
              <w:rPr>
                <w:rFonts w:hint="eastAsia" w:ascii="微软雅黑" w:hAnsi="微软雅黑" w:eastAsia="微软雅黑" w:cs="微软雅黑"/>
                <w:b/>
                <w:bCs/>
                <w:color w:val="auto"/>
                <w:kern w:val="0"/>
                <w:sz w:val="21"/>
                <w:szCs w:val="21"/>
                <w:lang w:eastAsia="zh-CN"/>
              </w:rPr>
              <w:t>，</w:t>
            </w:r>
            <w:r>
              <w:rPr>
                <w:rFonts w:hint="eastAsia" w:ascii="微软雅黑" w:hAnsi="微软雅黑" w:eastAsia="微软雅黑" w:cs="微软雅黑"/>
                <w:b/>
                <w:bCs/>
                <w:color w:val="auto"/>
                <w:kern w:val="0"/>
                <w:sz w:val="21"/>
                <w:szCs w:val="21"/>
              </w:rPr>
              <w:t>包括材料费(含辅材)、机械费、人工费、装运费、</w:t>
            </w:r>
            <w:r>
              <w:rPr>
                <w:rFonts w:hint="eastAsia" w:ascii="微软雅黑" w:hAnsi="微软雅黑" w:eastAsia="微软雅黑" w:cs="微软雅黑"/>
                <w:b/>
                <w:bCs/>
                <w:color w:val="auto"/>
                <w:kern w:val="0"/>
                <w:sz w:val="21"/>
                <w:szCs w:val="21"/>
                <w:lang w:eastAsia="zh-CN"/>
              </w:rPr>
              <w:t>采保费</w:t>
            </w:r>
            <w:r>
              <w:rPr>
                <w:rFonts w:hint="eastAsia" w:ascii="微软雅黑" w:hAnsi="微软雅黑" w:eastAsia="微软雅黑" w:cs="微软雅黑"/>
                <w:b/>
                <w:bCs/>
                <w:color w:val="auto"/>
                <w:kern w:val="0"/>
                <w:sz w:val="21"/>
                <w:szCs w:val="21"/>
              </w:rPr>
              <w:t>、</w:t>
            </w:r>
            <w:r>
              <w:rPr>
                <w:rFonts w:hint="eastAsia" w:ascii="微软雅黑" w:hAnsi="微软雅黑" w:eastAsia="微软雅黑" w:cs="微软雅黑"/>
                <w:b/>
                <w:bCs/>
                <w:color w:val="auto"/>
                <w:kern w:val="0"/>
                <w:sz w:val="21"/>
                <w:szCs w:val="21"/>
                <w:lang w:eastAsia="zh-CN"/>
              </w:rPr>
              <w:t>二次深化图纸费、材料检测费、规费、</w:t>
            </w:r>
            <w:r>
              <w:rPr>
                <w:rFonts w:hint="eastAsia" w:ascii="微软雅黑" w:hAnsi="微软雅黑" w:eastAsia="微软雅黑" w:cs="微软雅黑"/>
                <w:b/>
                <w:bCs/>
                <w:color w:val="auto"/>
                <w:kern w:val="0"/>
                <w:sz w:val="21"/>
                <w:szCs w:val="21"/>
              </w:rPr>
              <w:t>企业管理费</w:t>
            </w:r>
            <w:r>
              <w:rPr>
                <w:rFonts w:hint="eastAsia" w:ascii="微软雅黑" w:hAnsi="微软雅黑" w:eastAsia="微软雅黑" w:cs="微软雅黑"/>
                <w:b/>
                <w:bCs/>
                <w:color w:val="auto"/>
                <w:kern w:val="0"/>
                <w:sz w:val="21"/>
                <w:szCs w:val="21"/>
                <w:lang w:eastAsia="zh-CN"/>
              </w:rPr>
              <w:t>、装配式专家评审费（含评审资料制作费、专家评审费等）、</w:t>
            </w:r>
            <w:r>
              <w:rPr>
                <w:rFonts w:hint="eastAsia" w:ascii="微软雅黑" w:hAnsi="微软雅黑" w:eastAsia="微软雅黑" w:cs="微软雅黑"/>
                <w:b/>
                <w:bCs/>
                <w:color w:val="auto"/>
                <w:kern w:val="0"/>
                <w:sz w:val="21"/>
                <w:szCs w:val="21"/>
              </w:rPr>
              <w:t>利润</w:t>
            </w:r>
            <w:r>
              <w:rPr>
                <w:rFonts w:hint="eastAsia" w:ascii="微软雅黑" w:hAnsi="微软雅黑" w:eastAsia="微软雅黑" w:cs="微软雅黑"/>
                <w:b/>
                <w:bCs/>
                <w:color w:val="auto"/>
                <w:kern w:val="0"/>
                <w:sz w:val="21"/>
                <w:szCs w:val="21"/>
                <w:lang w:eastAsia="zh-CN"/>
              </w:rPr>
              <w:t>和税金</w:t>
            </w:r>
            <w:r>
              <w:rPr>
                <w:rFonts w:hint="eastAsia" w:ascii="微软雅黑" w:hAnsi="微软雅黑" w:eastAsia="微软雅黑" w:cs="微软雅黑"/>
                <w:b/>
                <w:bCs/>
                <w:color w:val="auto"/>
                <w:kern w:val="0"/>
                <w:sz w:val="21"/>
                <w:szCs w:val="21"/>
              </w:rPr>
              <w:t>等</w:t>
            </w:r>
            <w:r>
              <w:rPr>
                <w:rFonts w:hint="eastAsia" w:ascii="微软雅黑" w:hAnsi="微软雅黑" w:eastAsia="微软雅黑" w:cs="微软雅黑"/>
                <w:b/>
                <w:bCs/>
                <w:color w:val="auto"/>
                <w:kern w:val="0"/>
                <w:sz w:val="21"/>
                <w:szCs w:val="21"/>
                <w:lang w:eastAsia="zh-CN"/>
              </w:rPr>
              <w:t>所有</w:t>
            </w:r>
            <w:r>
              <w:rPr>
                <w:rFonts w:hint="eastAsia" w:ascii="微软雅黑" w:hAnsi="微软雅黑" w:eastAsia="微软雅黑" w:cs="微软雅黑"/>
                <w:b/>
                <w:bCs/>
                <w:color w:val="auto"/>
                <w:kern w:val="0"/>
                <w:sz w:val="21"/>
                <w:szCs w:val="21"/>
              </w:rPr>
              <w:t>费用。但不限于产品出厂前的模具设计、模具制作、生产、存储、包装、保险费、出厂检测、检验费、构件运输费</w:t>
            </w:r>
            <w:r>
              <w:rPr>
                <w:rFonts w:hint="eastAsia" w:ascii="微软雅黑" w:hAnsi="微软雅黑" w:eastAsia="微软雅黑" w:cs="微软雅黑"/>
                <w:b/>
                <w:bCs/>
                <w:color w:val="auto"/>
                <w:kern w:val="0"/>
                <w:sz w:val="21"/>
                <w:szCs w:val="21"/>
                <w:lang w:eastAsia="zh-CN"/>
              </w:rPr>
              <w:t>、装卸费</w:t>
            </w:r>
            <w:r>
              <w:rPr>
                <w:rFonts w:hint="eastAsia" w:ascii="微软雅黑" w:hAnsi="微软雅黑" w:eastAsia="微软雅黑" w:cs="微软雅黑"/>
                <w:b/>
                <w:bCs/>
                <w:color w:val="auto"/>
                <w:kern w:val="0"/>
                <w:sz w:val="21"/>
                <w:szCs w:val="21"/>
              </w:rPr>
              <w:t>、管理费、利润、税金及其他运抵至甲方指定交货地点的一切费用。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报价的要求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sz w:val="21"/>
                <w:szCs w:val="21"/>
              </w:rPr>
              <w:t>要求全费用含税报价并注明所包含的增值税税率。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6</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投标文件份数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正本、副本各1份。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17</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投标文件装订要求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文件完整打印并采用软面胶粘装订加盖骑缝公章。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84" w:type="dxa"/>
            <w:vAlign w:val="center"/>
          </w:tcPr>
          <w:p>
            <w:pPr>
              <w:spacing w:line="440" w:lineRule="exact"/>
              <w:jc w:val="center"/>
              <w:rPr>
                <w:rFonts w:hint="default"/>
                <w:lang w:val="en-US" w:eastAsia="zh-CN"/>
              </w:rPr>
            </w:pPr>
            <w:r>
              <w:rPr>
                <w:rFonts w:hint="eastAsia"/>
                <w:lang w:val="en-US" w:eastAsia="zh-CN"/>
              </w:rPr>
              <w:t>18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封套上写明</w:t>
            </w:r>
          </w:p>
        </w:tc>
        <w:tc>
          <w:tcPr>
            <w:tcW w:w="5842" w:type="dxa"/>
            <w:vAlign w:val="center"/>
          </w:tcPr>
          <w:p>
            <w:pPr>
              <w:spacing w:line="440" w:lineRule="exact"/>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Cs w:val="21"/>
                <w:u w:val="single"/>
                <w:lang w:val="en-US" w:eastAsia="zh-CN"/>
              </w:rPr>
              <w:t>阜阳紫阳华苑项目PC预制构件采购项目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是否退还投标文件</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是否进行评审结果</w:t>
            </w:r>
          </w:p>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rPr>
              <w:t>公示</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是，评审结果将在</w:t>
            </w:r>
            <w:r>
              <w:rPr>
                <w:rFonts w:hint="default" w:ascii="微软雅黑" w:hAnsi="微软雅黑" w:eastAsia="微软雅黑" w:cs="微软雅黑"/>
                <w:kern w:val="0"/>
                <w:position w:val="-1"/>
                <w:szCs w:val="21"/>
                <w:highlight w:val="none"/>
                <w:lang w:val="en-US" w:eastAsia="zh-CN"/>
              </w:rPr>
              <w:t>安徽省经工建设集团有限公司网站</w:t>
            </w:r>
            <w:r>
              <w:rPr>
                <w:rFonts w:hint="eastAsia" w:ascii="微软雅黑" w:hAnsi="微软雅黑" w:eastAsia="微软雅黑" w:cs="微软雅黑"/>
                <w:kern w:val="0"/>
                <w:position w:val="-1"/>
                <w:szCs w:val="21"/>
                <w:highlight w:val="none"/>
                <w:lang w:val="en-US" w:eastAsia="zh-CN"/>
              </w:rPr>
              <w:t>发布</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履约保证金</w:t>
            </w:r>
          </w:p>
        </w:tc>
        <w:tc>
          <w:tcPr>
            <w:tcW w:w="5842" w:type="dxa"/>
            <w:vAlign w:val="center"/>
          </w:tcPr>
          <w:p>
            <w:pPr>
              <w:spacing w:beforeLines="20" w:afterLines="20"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合同签订</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中标人于中标通知书发出之日起</w:t>
            </w:r>
            <w:r>
              <w:rPr>
                <w:rFonts w:hint="eastAsia" w:ascii="微软雅黑" w:hAnsi="微软雅黑" w:eastAsia="微软雅黑" w:cs="微软雅黑"/>
                <w:kern w:val="0"/>
                <w:sz w:val="21"/>
                <w:szCs w:val="21"/>
                <w:u w:val="single"/>
              </w:rPr>
              <w:t>7</w:t>
            </w:r>
            <w:r>
              <w:rPr>
                <w:rFonts w:hint="eastAsia" w:ascii="微软雅黑" w:hAnsi="微软雅黑" w:eastAsia="微软雅黑" w:cs="微软雅黑"/>
                <w:kern w:val="0"/>
                <w:sz w:val="21"/>
                <w:szCs w:val="21"/>
              </w:rPr>
              <w:t>个日历天内按</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文件要求与</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施工水电费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总包管理及配合费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25</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中标样品封存</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26</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工程质保期</w:t>
            </w:r>
          </w:p>
        </w:tc>
        <w:tc>
          <w:tcPr>
            <w:tcW w:w="5842" w:type="dxa"/>
            <w:vAlign w:val="center"/>
          </w:tcPr>
          <w:p>
            <w:pPr>
              <w:numPr>
                <w:ilvl w:val="255"/>
                <w:numId w:val="0"/>
              </w:num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质保期按规范要求。</w:t>
            </w:r>
          </w:p>
        </w:tc>
      </w:tr>
    </w:tbl>
    <w:p>
      <w:pPr>
        <w:widowControl/>
        <w:jc w:val="left"/>
        <w:rPr>
          <w:rFonts w:ascii="Times New Roman" w:hAnsi="Times New Roman" w:eastAsia="宋体" w:cs="Times New Roman"/>
        </w:rPr>
        <w:sectPr>
          <w:footerReference r:id="rId4" w:type="default"/>
          <w:footnotePr>
            <w:numFmt w:val="decimalEnclosedCircleChinese"/>
            <w:numRestart w:val="eachPage"/>
          </w:footnotePr>
          <w:pgSz w:w="11906" w:h="16838"/>
          <w:pgMar w:top="1440" w:right="1269" w:bottom="1440" w:left="13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0"/>
        </w:numPr>
        <w:spacing w:before="312" w:after="312"/>
        <w:ind w:firstLine="2891" w:firstLineChars="800"/>
        <w:jc w:val="both"/>
        <w:rPr>
          <w:rFonts w:hint="eastAsia" w:ascii="Times New Roman" w:hAnsi="Times New Roman" w:eastAsia="宋体" w:cs="Times New Roman"/>
        </w:rPr>
      </w:pPr>
    </w:p>
    <w:p>
      <w:pPr>
        <w:spacing w:line="360" w:lineRule="auto"/>
        <w:ind w:firstLine="1921" w:firstLineChars="600"/>
        <w:outlineLvl w:val="0"/>
        <w:rPr>
          <w:rFonts w:hint="eastAsia" w:ascii="微软雅黑" w:hAnsi="微软雅黑" w:eastAsia="微软雅黑" w:cs="微软雅黑"/>
          <w:b/>
          <w:bCs/>
          <w:kern w:val="0"/>
          <w:sz w:val="32"/>
          <w:szCs w:val="32"/>
          <w:lang w:eastAsia="zh-CN"/>
        </w:rPr>
      </w:pPr>
      <w:bookmarkStart w:id="48" w:name="_Toc20284"/>
      <w:r>
        <w:rPr>
          <w:rFonts w:hint="eastAsia" w:ascii="微软雅黑" w:hAnsi="微软雅黑" w:eastAsia="微软雅黑" w:cs="微软雅黑"/>
          <w:b/>
          <w:bCs/>
          <w:kern w:val="0"/>
          <w:sz w:val="32"/>
          <w:szCs w:val="32"/>
        </w:rPr>
        <w:t>第三章   评审办法</w:t>
      </w:r>
      <w:bookmarkEnd w:id="48"/>
      <w:r>
        <w:rPr>
          <w:rFonts w:hint="eastAsia" w:ascii="微软雅黑" w:hAnsi="微软雅黑" w:eastAsia="微软雅黑" w:cs="微软雅黑"/>
          <w:b/>
          <w:bCs/>
          <w:kern w:val="0"/>
          <w:sz w:val="32"/>
          <w:szCs w:val="32"/>
          <w:lang w:eastAsia="zh-CN"/>
        </w:rPr>
        <w:t>（中位值法）</w:t>
      </w:r>
    </w:p>
    <w:p>
      <w:pPr>
        <w:spacing w:line="360" w:lineRule="auto"/>
        <w:jc w:val="left"/>
        <w:rPr>
          <w:rFonts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lang w:val="en-US" w:eastAsia="zh-CN"/>
        </w:rPr>
        <w:t>1.</w:t>
      </w:r>
      <w:r>
        <w:rPr>
          <w:rFonts w:hint="eastAsia" w:ascii="微软雅黑" w:hAnsi="微软雅黑" w:eastAsia="微软雅黑" w:cs="微软雅黑"/>
          <w:b/>
          <w:bCs/>
          <w:kern w:val="0"/>
          <w:sz w:val="21"/>
          <w:szCs w:val="21"/>
        </w:rPr>
        <w:t>资格评审</w:t>
      </w:r>
    </w:p>
    <w:tbl>
      <w:tblPr>
        <w:tblStyle w:val="24"/>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49"/>
        <w:gridCol w:w="2046"/>
        <w:gridCol w:w="6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9" w:hRule="atLeast"/>
          <w:jc w:val="center"/>
        </w:trPr>
        <w:tc>
          <w:tcPr>
            <w:tcW w:w="1149"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条款号</w:t>
            </w:r>
          </w:p>
        </w:tc>
        <w:tc>
          <w:tcPr>
            <w:tcW w:w="2046" w:type="dxa"/>
            <w:vAlign w:val="center"/>
          </w:tcPr>
          <w:p>
            <w:pPr>
              <w:widowControl/>
              <w:ind w:firstLine="440" w:firstLineChars="200"/>
              <w:jc w:val="both"/>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评审内容</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exact"/>
          <w:jc w:val="center"/>
        </w:trPr>
        <w:tc>
          <w:tcPr>
            <w:tcW w:w="1149" w:type="dxa"/>
            <w:vMerge w:val="restart"/>
            <w:vAlign w:val="center"/>
          </w:tcPr>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资格</w:t>
            </w:r>
          </w:p>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评审</w:t>
            </w:r>
          </w:p>
          <w:p>
            <w:pPr>
              <w:widowControl/>
              <w:spacing w:line="480" w:lineRule="auto"/>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标准</w:t>
            </w:r>
          </w:p>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资质要求</w:t>
            </w:r>
          </w:p>
        </w:tc>
        <w:tc>
          <w:tcPr>
            <w:tcW w:w="6176" w:type="dxa"/>
            <w:vAlign w:val="center"/>
          </w:tcPr>
          <w:p>
            <w:pPr>
              <w:widowControl/>
              <w:snapToGrid w:val="0"/>
              <w:ind w:firstLine="2640" w:firstLineChars="1200"/>
              <w:jc w:val="both"/>
              <w:rPr>
                <w:rFonts w:hint="eastAsia" w:ascii="宋体" w:hAnsi="宋体" w:eastAsia="宋体" w:cs="宋体"/>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 w:hRule="exac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信誉最低要求</w:t>
            </w:r>
          </w:p>
        </w:tc>
        <w:tc>
          <w:tcPr>
            <w:tcW w:w="6176" w:type="dxa"/>
            <w:vAlign w:val="center"/>
          </w:tcPr>
          <w:p>
            <w:pPr>
              <w:widowControl/>
              <w:numPr>
                <w:ilvl w:val="-1"/>
                <w:numId w:val="0"/>
              </w:numPr>
              <w:snapToGrid w:val="0"/>
              <w:jc w:val="center"/>
              <w:rPr>
                <w:rFonts w:hint="eastAsia" w:ascii="宋体" w:hAnsi="宋体" w:eastAsia="宋体" w:cs="宋体"/>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exac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lang w:eastAsia="zh-CN"/>
              </w:rPr>
              <w:t>年生产能力</w:t>
            </w:r>
            <w:r>
              <w:rPr>
                <w:rFonts w:hint="eastAsia" w:ascii="宋体" w:hAnsi="宋体" w:eastAsia="宋体" w:cs="宋体"/>
                <w:kern w:val="0"/>
                <w:position w:val="-1"/>
                <w:sz w:val="22"/>
                <w:szCs w:val="22"/>
                <w:highlight w:val="none"/>
              </w:rPr>
              <w:t>最低要求</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1149" w:type="dxa"/>
            <w:vMerge w:val="continue"/>
            <w:vAlign w:val="center"/>
          </w:tcPr>
          <w:p>
            <w:pPr>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kern w:val="0"/>
                <w:position w:val="-1"/>
                <w:sz w:val="22"/>
                <w:szCs w:val="22"/>
                <w:highlight w:val="none"/>
              </w:rPr>
            </w:pPr>
            <w:r>
              <w:rPr>
                <w:rFonts w:hint="eastAsia" w:ascii="宋体" w:hAnsi="宋体" w:eastAsia="宋体" w:cs="宋体"/>
                <w:kern w:val="0"/>
                <w:position w:val="-1"/>
                <w:sz w:val="22"/>
                <w:szCs w:val="22"/>
                <w:highlight w:val="none"/>
              </w:rPr>
              <w:t>业绩最低要求</w:t>
            </w:r>
          </w:p>
        </w:tc>
        <w:tc>
          <w:tcPr>
            <w:tcW w:w="6176" w:type="dxa"/>
            <w:vAlign w:val="center"/>
          </w:tcPr>
          <w:p>
            <w:pPr>
              <w:widowControl/>
              <w:spacing w:line="440" w:lineRule="exact"/>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jc w:val="center"/>
        </w:trPr>
        <w:tc>
          <w:tcPr>
            <w:tcW w:w="1149" w:type="dxa"/>
            <w:vMerge w:val="continue"/>
            <w:vAlign w:val="center"/>
          </w:tcPr>
          <w:p>
            <w:pPr>
              <w:widowControl/>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spacing w:line="44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投标保证金</w:t>
            </w:r>
          </w:p>
        </w:tc>
        <w:tc>
          <w:tcPr>
            <w:tcW w:w="6176" w:type="dxa"/>
            <w:vAlign w:val="center"/>
          </w:tcPr>
          <w:p>
            <w:pPr>
              <w:widowControl/>
              <w:spacing w:line="440" w:lineRule="exact"/>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9" w:hRule="atLeast"/>
          <w:jc w:val="center"/>
        </w:trPr>
        <w:tc>
          <w:tcPr>
            <w:tcW w:w="1149" w:type="dxa"/>
            <w:vMerge w:val="continue"/>
            <w:vAlign w:val="center"/>
          </w:tcPr>
          <w:p>
            <w:pPr>
              <w:widowControl/>
              <w:spacing w:line="360" w:lineRule="auto"/>
              <w:jc w:val="center"/>
              <w:textAlignment w:val="center"/>
              <w:rPr>
                <w:rFonts w:hint="eastAsia" w:ascii="宋体" w:hAnsi="宋体" w:eastAsia="宋体" w:cs="宋体"/>
                <w:color w:val="000000"/>
                <w:kern w:val="0"/>
                <w:sz w:val="22"/>
                <w:szCs w:val="22"/>
              </w:rPr>
            </w:pPr>
          </w:p>
        </w:tc>
        <w:tc>
          <w:tcPr>
            <w:tcW w:w="204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文件装订要求</w:t>
            </w:r>
          </w:p>
        </w:tc>
        <w:tc>
          <w:tcPr>
            <w:tcW w:w="6176" w:type="dxa"/>
            <w:vAlign w:val="center"/>
          </w:tcPr>
          <w:p>
            <w:pPr>
              <w:widowControl/>
              <w:jc w:val="center"/>
              <w:textAlignment w:val="center"/>
              <w:rPr>
                <w:rFonts w:hint="eastAsia" w:ascii="宋体" w:hAnsi="宋体" w:eastAsia="宋体" w:cs="宋体"/>
                <w:color w:val="000000"/>
                <w:kern w:val="0"/>
                <w:sz w:val="22"/>
                <w:szCs w:val="22"/>
              </w:rPr>
            </w:pPr>
            <w:r>
              <w:rPr>
                <w:rFonts w:hint="eastAsia" w:ascii="宋体" w:hAnsi="宋体" w:eastAsia="宋体" w:cs="宋体"/>
                <w:sz w:val="22"/>
                <w:szCs w:val="22"/>
                <w:lang w:eastAsia="zh-CN"/>
              </w:rPr>
              <w:t>见</w:t>
            </w:r>
            <w:r>
              <w:rPr>
                <w:rFonts w:hint="eastAsia" w:ascii="宋体" w:hAnsi="宋体" w:eastAsia="宋体" w:cs="宋体"/>
                <w:kern w:val="0"/>
                <w:sz w:val="22"/>
                <w:szCs w:val="22"/>
              </w:rPr>
              <w:t>第</w:t>
            </w:r>
            <w:r>
              <w:rPr>
                <w:rFonts w:hint="eastAsia" w:ascii="宋体" w:hAnsi="宋体" w:eastAsia="宋体" w:cs="宋体"/>
                <w:kern w:val="0"/>
                <w:sz w:val="22"/>
                <w:szCs w:val="22"/>
                <w:lang w:eastAsia="zh-CN"/>
              </w:rPr>
              <w:t>二</w:t>
            </w:r>
            <w:r>
              <w:rPr>
                <w:rFonts w:hint="eastAsia" w:ascii="宋体" w:hAnsi="宋体" w:eastAsia="宋体" w:cs="宋体"/>
                <w:kern w:val="0"/>
                <w:sz w:val="22"/>
                <w:szCs w:val="22"/>
              </w:rPr>
              <w:t>章</w:t>
            </w:r>
          </w:p>
        </w:tc>
      </w:tr>
    </w:tbl>
    <w:p>
      <w:pPr>
        <w:numPr>
          <w:ilvl w:val="0"/>
          <w:numId w:val="0"/>
        </w:numPr>
        <w:spacing w:line="360" w:lineRule="auto"/>
        <w:jc w:val="left"/>
        <w:rPr>
          <w:rFonts w:ascii="微软雅黑" w:hAnsi="微软雅黑" w:eastAsia="微软雅黑" w:cs="微软雅黑"/>
          <w:b/>
          <w:bCs/>
          <w:kern w:val="0"/>
          <w:sz w:val="21"/>
          <w:szCs w:val="21"/>
        </w:rPr>
      </w:pPr>
      <w:r>
        <w:rPr>
          <w:rFonts w:hint="eastAsia" w:ascii="微软雅黑" w:hAnsi="微软雅黑" w:eastAsia="微软雅黑" w:cs="微软雅黑"/>
          <w:b/>
          <w:bCs/>
          <w:kern w:val="0"/>
          <w:sz w:val="21"/>
          <w:szCs w:val="21"/>
          <w:lang w:val="en-US" w:eastAsia="zh-CN"/>
        </w:rPr>
        <w:t>2.</w:t>
      </w:r>
      <w:r>
        <w:rPr>
          <w:rFonts w:hint="eastAsia" w:ascii="微软雅黑" w:hAnsi="微软雅黑" w:eastAsia="微软雅黑" w:cs="微软雅黑"/>
          <w:b/>
          <w:bCs/>
          <w:kern w:val="0"/>
          <w:sz w:val="21"/>
          <w:szCs w:val="21"/>
        </w:rPr>
        <w:t>报价评审</w:t>
      </w:r>
    </w:p>
    <w:p>
      <w:pPr>
        <w:numPr>
          <w:ilvl w:val="0"/>
          <w:numId w:val="0"/>
        </w:numPr>
        <w:spacing w:line="360" w:lineRule="auto"/>
        <w:jc w:val="left"/>
        <w:rPr>
          <w:rFonts w:hint="default" w:ascii="微软雅黑" w:hAnsi="微软雅黑" w:eastAsia="微软雅黑" w:cs="微软雅黑"/>
          <w:kern w:val="0"/>
          <w:sz w:val="21"/>
          <w:szCs w:val="21"/>
        </w:rPr>
      </w:pP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办法前附表</w:t>
      </w:r>
    </w:p>
    <w:tbl>
      <w:tblPr>
        <w:tblStyle w:val="25"/>
        <w:tblW w:w="9450"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105"/>
        <w:gridCol w:w="207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pStyle w:val="2"/>
              <w:ind w:left="0" w:leftChars="0" w:firstLine="0" w:firstLineChars="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条款号</w:t>
            </w:r>
          </w:p>
        </w:tc>
        <w:tc>
          <w:tcPr>
            <w:tcW w:w="2072"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c>
          <w:tcPr>
            <w:tcW w:w="5332"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1"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1</w:t>
            </w:r>
          </w:p>
        </w:tc>
        <w:tc>
          <w:tcPr>
            <w:tcW w:w="110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评标办法</w:t>
            </w:r>
          </w:p>
        </w:tc>
        <w:tc>
          <w:tcPr>
            <w:tcW w:w="2072"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成交候选人排序方法</w:t>
            </w:r>
          </w:p>
        </w:tc>
        <w:tc>
          <w:tcPr>
            <w:tcW w:w="5332" w:type="dxa"/>
            <w:vAlign w:val="top"/>
          </w:tcPr>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（1）按报价文件得分由高到低的顺序推荐不超过3名成交候选人，报价文件得分相等时，评审小组依次按照以下优先顺序推荐成交候选人：报价文件得分相等时，以响应文件报价低的优先；</w:t>
            </w:r>
          </w:p>
          <w:p>
            <w:pPr>
              <w:numPr>
                <w:ilvl w:val="0"/>
                <w:numId w:val="0"/>
              </w:numPr>
              <w:spacing w:line="360" w:lineRule="atLeast"/>
              <w:rPr>
                <w:rFonts w:hint="eastAsia" w:ascii="仿宋_GB2312" w:hAnsi="仿宋_GB2312" w:eastAsia="仿宋_GB2312" w:cs="仿宋_GB2312"/>
                <w:sz w:val="24"/>
                <w:szCs w:val="24"/>
                <w:vertAlign w:val="baseline"/>
                <w:lang w:eastAsia="zh-CN"/>
              </w:rPr>
            </w:pPr>
            <w:r>
              <w:rPr>
                <w:rFonts w:hint="eastAsia" w:ascii="宋体" w:hAnsi="宋体" w:eastAsia="宋体" w:cs="宋体"/>
                <w:kern w:val="0"/>
                <w:sz w:val="21"/>
                <w:szCs w:val="21"/>
                <w:lang w:val="en-US" w:eastAsia="zh-CN" w:bidi="ar-SA"/>
              </w:rPr>
              <w:t>（2）响应文件报价也相等的，由评审小组根据响应文件投票按少数服从多数的原则决定排序。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46"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2.2.1</w:t>
            </w:r>
          </w:p>
        </w:tc>
        <w:tc>
          <w:tcPr>
            <w:tcW w:w="2072" w:type="dxa"/>
            <w:vAlign w:val="center"/>
          </w:tcPr>
          <w:p>
            <w:pPr>
              <w:pStyle w:val="2"/>
              <w:ind w:left="0" w:leftChars="0" w:firstLine="0" w:firstLineChars="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2"/>
                <w:sz w:val="21"/>
                <w:szCs w:val="21"/>
                <w:lang w:val="en-US" w:eastAsia="zh-CN" w:bidi="ar-SA"/>
              </w:rPr>
              <w:t>分值构成（</w:t>
            </w:r>
            <w:r>
              <w:rPr>
                <w:rFonts w:hint="default" w:ascii="微软雅黑" w:hAnsi="微软雅黑" w:eastAsia="微软雅黑" w:cs="微软雅黑"/>
                <w:kern w:val="2"/>
                <w:sz w:val="21"/>
                <w:szCs w:val="21"/>
                <w:lang w:val="en-US" w:eastAsia="zh-CN" w:bidi="ar-SA"/>
              </w:rPr>
              <w:t xml:space="preserve">100 </w:t>
            </w:r>
            <w:r>
              <w:rPr>
                <w:rFonts w:hint="eastAsia" w:ascii="微软雅黑" w:hAnsi="微软雅黑" w:eastAsia="微软雅黑" w:cs="微软雅黑"/>
                <w:kern w:val="2"/>
                <w:sz w:val="21"/>
                <w:szCs w:val="21"/>
                <w:lang w:val="en-US" w:eastAsia="zh-CN" w:bidi="ar-SA"/>
              </w:rPr>
              <w:t>分）</w:t>
            </w:r>
          </w:p>
        </w:tc>
        <w:tc>
          <w:tcPr>
            <w:tcW w:w="5332" w:type="dxa"/>
            <w:vAlign w:val="center"/>
          </w:tcPr>
          <w:p>
            <w:pPr>
              <w:pStyle w:val="2"/>
              <w:numPr>
                <w:ilvl w:val="0"/>
                <w:numId w:val="0"/>
              </w:numPr>
              <w:spacing w:line="240" w:lineRule="auto"/>
              <w:ind w:leftChars="0"/>
              <w:jc w:val="both"/>
              <w:rPr>
                <w:rFonts w:hint="eastAsia"/>
                <w:highlight w:val="yellow"/>
                <w:vertAlign w:val="baseline"/>
                <w:lang w:val="en-US" w:eastAsia="zh-CN"/>
              </w:rPr>
            </w:pPr>
            <w:r>
              <w:rPr>
                <w:rFonts w:hint="eastAsia" w:ascii="宋体" w:hAnsi="宋体" w:eastAsia="宋体" w:cs="宋体"/>
                <w:b/>
                <w:bCs/>
                <w:kern w:val="0"/>
                <w:sz w:val="21"/>
                <w:szCs w:val="21"/>
                <w:lang w:val="en-US" w:eastAsia="zh-CN" w:bidi="ar-SA"/>
              </w:rPr>
              <w:t>报价文件评分分值构成</w:t>
            </w:r>
            <w:r>
              <w:rPr>
                <w:rFonts w:hint="eastAsia" w:ascii="宋体" w:hAnsi="宋体" w:eastAsia="宋体" w:cs="宋体"/>
                <w:kern w:val="0"/>
                <w:sz w:val="21"/>
                <w:szCs w:val="21"/>
                <w:lang w:val="en-US" w:eastAsia="zh-CN" w:bidi="ar-SA"/>
              </w:rPr>
              <w:t>：响应报价：100分。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2.2.2</w:t>
            </w:r>
          </w:p>
        </w:tc>
        <w:tc>
          <w:tcPr>
            <w:tcW w:w="2072" w:type="dxa"/>
            <w:vAlign w:val="center"/>
          </w:tcPr>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评标基准价计算</w:t>
            </w:r>
          </w:p>
        </w:tc>
        <w:tc>
          <w:tcPr>
            <w:tcW w:w="5332" w:type="dxa"/>
            <w:vAlign w:val="center"/>
          </w:tcPr>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a.确定评标价 评标价=响应函文字报价； </w:t>
            </w:r>
          </w:p>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b.纳入评标价平均值计算均须满足的情形 </w:t>
            </w:r>
          </w:p>
          <w:p>
            <w:pPr>
              <w:numPr>
                <w:ilvl w:val="0"/>
                <w:numId w:val="0"/>
              </w:numPr>
              <w:spacing w:line="360" w:lineRule="atLeas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（a）通过报价文件初步评审的响应文件的评标价； </w:t>
            </w:r>
          </w:p>
          <w:p>
            <w:pPr>
              <w:numPr>
                <w:ilvl w:val="0"/>
                <w:numId w:val="0"/>
              </w:numPr>
              <w:spacing w:line="360" w:lineRule="atLeast"/>
              <w:rPr>
                <w:rFonts w:hint="eastAsia" w:ascii="微软雅黑" w:hAnsi="微软雅黑" w:eastAsia="微软雅黑" w:cs="微软雅黑"/>
                <w:b/>
                <w:bCs/>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（b）投标报价不高于最高投标限价的98%；</w:t>
            </w:r>
          </w:p>
          <w:p>
            <w:pPr>
              <w:numPr>
                <w:ilvl w:val="0"/>
                <w:numId w:val="0"/>
              </w:numPr>
              <w:spacing w:line="360" w:lineRule="atLeast"/>
              <w:rPr>
                <w:rFonts w:hint="eastAsia" w:ascii="微软雅黑" w:hAnsi="微软雅黑" w:eastAsia="微软雅黑" w:cs="微软雅黑"/>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（c）投标报价不低于最高投标限价的95%</w:t>
            </w:r>
            <w:r>
              <w:rPr>
                <w:rFonts w:hint="eastAsia" w:ascii="微软雅黑" w:hAnsi="微软雅黑" w:eastAsia="微软雅黑" w:cs="微软雅黑"/>
                <w:kern w:val="2"/>
                <w:sz w:val="21"/>
                <w:szCs w:val="21"/>
                <w:highlight w:val="green"/>
                <w:vertAlign w:val="baseline"/>
                <w:lang w:val="en-US" w:eastAsia="zh-CN" w:bidi="ar-SA"/>
              </w:rPr>
              <w:t>；</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c.计算评标价平均值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以通过上述“b.纳入评标价平均值计算均须满足的情形”评审的响应文件的评标价作为有效评标价；如出现无法计算评标价平均值的情况，评审小组将否决所有响应。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对所有有效评标价按照由低到高进行排序，去除 n 个较高有效评标价和 n 个较低有效评标价，取其他有效评标价进行算术平均得出评标价平均值。设有效评标价对应的供应商数量为 X，n 按照以下规定取值：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①当 X≤5，n=0；</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②当 5＜X≤10，n=1； </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③当 X＞10，n=2；</w:t>
            </w:r>
          </w:p>
          <w:p>
            <w:pPr>
              <w:pStyle w:val="2"/>
              <w:ind w:left="0" w:leftChars="0" w:firstLine="0" w:firstLineChars="0"/>
              <w:jc w:val="both"/>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 xml:space="preserve">d.确定评审系数C </w:t>
            </w:r>
          </w:p>
          <w:p>
            <w:pPr>
              <w:pStyle w:val="2"/>
              <w:ind w:left="0" w:leftChars="0" w:firstLine="0" w:firstLineChars="0"/>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1"/>
                <w:szCs w:val="21"/>
                <w:lang w:val="en-US" w:eastAsia="zh-CN" w:bidi="ar-SA"/>
              </w:rPr>
              <w:t>由采购人从1.01、0.99、0.98、0.97四个系数中随机抽</w:t>
            </w:r>
            <w:r>
              <w:rPr>
                <w:rFonts w:hint="eastAsia" w:ascii="宋体" w:hAnsi="宋体" w:eastAsia="宋体" w:cs="宋体"/>
                <w:kern w:val="0"/>
                <w:sz w:val="22"/>
                <w:szCs w:val="22"/>
                <w:lang w:val="en-US" w:eastAsia="zh-CN" w:bidi="ar-SA"/>
              </w:rPr>
              <w:t>取三个，再由供应商代表现场随机抽取其中一个系数。</w:t>
            </w:r>
          </w:p>
          <w:p>
            <w:pPr>
              <w:pStyle w:val="2"/>
              <w:ind w:left="0" w:leftChars="0" w:firstLine="0" w:firstLineChars="0"/>
              <w:jc w:val="both"/>
              <w:rPr>
                <w:rFonts w:hint="eastAsia" w:ascii="宋体" w:hAnsi="宋体" w:eastAsia="宋体" w:cs="宋体"/>
                <w:kern w:val="0"/>
                <w:sz w:val="22"/>
                <w:szCs w:val="22"/>
                <w:lang w:val="en-US" w:eastAsia="zh-CN" w:bidi="ar-SA"/>
              </w:rPr>
            </w:pPr>
            <w:r>
              <w:rPr>
                <w:rFonts w:hint="eastAsia" w:ascii="宋体" w:hAnsi="宋体" w:eastAsia="宋体" w:cs="宋体"/>
                <w:kern w:val="0"/>
                <w:sz w:val="22"/>
                <w:szCs w:val="22"/>
                <w:lang w:val="en-US" w:eastAsia="zh-CN" w:bidi="ar-SA"/>
              </w:rPr>
              <w:t xml:space="preserve">E.确定评标基准价 </w:t>
            </w:r>
          </w:p>
          <w:p>
            <w:pPr>
              <w:pStyle w:val="2"/>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宋体" w:hAnsi="宋体" w:eastAsia="宋体" w:cs="宋体"/>
                <w:kern w:val="0"/>
                <w:sz w:val="22"/>
                <w:szCs w:val="22"/>
                <w:lang w:val="en-US" w:eastAsia="zh-CN" w:bidi="ar-SA"/>
              </w:rPr>
              <w:t>评标基准价=评标价平均值*评审系数C，评标基准价除存在计算错误之外，不随任何因素发生变化。</w:t>
            </w:r>
          </w:p>
        </w:tc>
      </w:tr>
    </w:tbl>
    <w:p>
      <w:pPr>
        <w:pStyle w:val="2"/>
        <w:ind w:left="0" w:leftChars="0" w:firstLine="0" w:firstLineChars="0"/>
        <w:rPr>
          <w:lang w:val="en-US" w:eastAsia="zh-CN"/>
        </w:rPr>
      </w:pPr>
    </w:p>
    <w:p>
      <w:pPr>
        <w:keepNext w:val="0"/>
        <w:keepLines w:val="0"/>
        <w:widowControl/>
        <w:suppressLineNumbers w:val="0"/>
        <w:jc w:val="center"/>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报价文件</w:t>
      </w:r>
      <w:r>
        <w:rPr>
          <w:rFonts w:ascii="黑体" w:hAnsi="宋体" w:eastAsia="黑体" w:cs="黑体"/>
          <w:color w:val="000000"/>
          <w:kern w:val="0"/>
          <w:sz w:val="30"/>
          <w:szCs w:val="30"/>
          <w:lang w:val="en-US" w:eastAsia="zh-CN" w:bidi="ar"/>
        </w:rPr>
        <w:t>评审标准</w:t>
      </w:r>
    </w:p>
    <w:tbl>
      <w:tblPr>
        <w:tblStyle w:val="25"/>
        <w:tblW w:w="9409" w:type="dxa"/>
        <w:tblInd w:w="-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336"/>
        <w:gridCol w:w="873"/>
        <w:gridCol w:w="6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6"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条款号</w:t>
            </w:r>
          </w:p>
        </w:tc>
        <w:tc>
          <w:tcPr>
            <w:tcW w:w="1336"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评分因素</w:t>
            </w:r>
          </w:p>
        </w:tc>
        <w:tc>
          <w:tcPr>
            <w:tcW w:w="873"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c>
          <w:tcPr>
            <w:tcW w:w="6014"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2.2.3</w:t>
            </w:r>
          </w:p>
        </w:tc>
        <w:tc>
          <w:tcPr>
            <w:tcW w:w="133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投标报价评分标准</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100分</w:t>
            </w:r>
          </w:p>
        </w:tc>
        <w:tc>
          <w:tcPr>
            <w:tcW w:w="6014" w:type="dxa"/>
            <w:vAlign w:val="center"/>
          </w:tcPr>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评标价的偏差率计算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偏差率=100% *（供应商评标价－评标基准价）/评标基准价。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偏差率保留两位小数（小数点后第三位“四舍五入”）。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评标价得分计算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①如果供应商评标价＞评标基准价，则评标价得分=F－偏差率 * E1； </w:t>
            </w:r>
          </w:p>
          <w:p>
            <w:pPr>
              <w:pStyle w:val="2"/>
              <w:ind w:left="0" w:leftChars="0" w:firstLine="0" w:firstLineChars="0"/>
              <w:jc w:val="both"/>
              <w:rPr>
                <w:rFonts w:hint="eastAsia" w:asciiTheme="majorEastAsia" w:hAnsiTheme="majorEastAsia" w:eastAsiaTheme="majorEastAsia" w:cstheme="majorEastAsia"/>
                <w:kern w:val="0"/>
                <w:sz w:val="22"/>
                <w:szCs w:val="22"/>
                <w:lang w:val="en-US" w:eastAsia="zh-CN" w:bidi="ar-SA"/>
              </w:rPr>
            </w:pPr>
            <w:r>
              <w:rPr>
                <w:rFonts w:hint="eastAsia" w:asciiTheme="majorEastAsia" w:hAnsiTheme="majorEastAsia" w:eastAsiaTheme="majorEastAsia" w:cstheme="majorEastAsia"/>
                <w:kern w:val="0"/>
                <w:sz w:val="22"/>
                <w:szCs w:val="22"/>
                <w:lang w:val="en-US" w:eastAsia="zh-CN" w:bidi="ar-SA"/>
              </w:rPr>
              <w:t xml:space="preserve">②如果供应商评标价≤评标基准价，则评标价得分=F＋偏差率 * E2。 </w:t>
            </w:r>
          </w:p>
          <w:p>
            <w:pPr>
              <w:pStyle w:val="2"/>
              <w:ind w:left="0" w:leftChars="0" w:firstLine="0" w:firstLineChars="0"/>
              <w:jc w:val="both"/>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lang w:val="en-US" w:eastAsia="zh-CN" w:bidi="ar-SA"/>
              </w:rPr>
              <w:t>其中：F 是评标价所占的权重分值。E1 是评标价每高于评标基准价一个百分点的扣分值，E2 是评标价每低于评标基准价一个百分点的扣分值。E1=10、E2=5。 当评标价得分为负时，均按 0 分计算。</w:t>
            </w:r>
          </w:p>
        </w:tc>
      </w:tr>
    </w:tbl>
    <w:p>
      <w:pPr>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lang w:val="en-US" w:eastAsia="zh-CN"/>
        </w:rPr>
        <w:t xml:space="preserve">1. 评标方法 </w:t>
      </w:r>
    </w:p>
    <w:p>
      <w:pPr>
        <w:spacing w:line="360" w:lineRule="auto"/>
        <w:ind w:firstLine="420"/>
        <w:outlineLvl w:val="0"/>
        <w:rPr>
          <w:rFonts w:hint="default"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 xml:space="preserve">本次评标采用中位值。评审小组对满足采购文件实质性要求的响应文件，按照本章第 </w:t>
      </w:r>
      <w:r>
        <w:rPr>
          <w:rFonts w:hint="default" w:asciiTheme="majorEastAsia" w:hAnsiTheme="majorEastAsia" w:eastAsiaTheme="majorEastAsia" w:cstheme="majorEastAsia"/>
          <w:kern w:val="0"/>
          <w:sz w:val="22"/>
          <w:szCs w:val="22"/>
          <w:u w:val="none"/>
          <w:lang w:val="en-US" w:eastAsia="zh-CN"/>
        </w:rPr>
        <w:t xml:space="preserve">2.2 </w:t>
      </w:r>
      <w:r>
        <w:rPr>
          <w:rFonts w:hint="eastAsia" w:asciiTheme="majorEastAsia" w:hAnsiTheme="majorEastAsia" w:eastAsiaTheme="majorEastAsia" w:cstheme="majorEastAsia"/>
          <w:kern w:val="0"/>
          <w:sz w:val="22"/>
          <w:szCs w:val="22"/>
          <w:u w:val="none"/>
          <w:lang w:val="en-US" w:eastAsia="zh-CN"/>
        </w:rPr>
        <w:t xml:space="preserve">款规定的报价评分标准进行打分，并按得分由高到低顺序推荐成交候选人，或根据采购人授权直接确定成交人。报价得分相等时，以响应文件报价低的优先；如果响应文件报价也相等，按照评标办法表中的规定确定成交候选人顺序。 </w:t>
      </w:r>
    </w:p>
    <w:p>
      <w:pPr>
        <w:keepNext/>
        <w:keepLines/>
        <w:pageBreakBefore w:val="0"/>
        <w:widowControl w:val="0"/>
        <w:kinsoku/>
        <w:wordWrap/>
        <w:overflowPunct/>
        <w:topLinePunct w:val="0"/>
        <w:autoSpaceDE/>
        <w:autoSpaceDN/>
        <w:bidi w:val="0"/>
        <w:adjustRightInd/>
        <w:snapToGrid/>
        <w:spacing w:line="400" w:lineRule="exact"/>
        <w:ind w:firstLine="0" w:firstLineChars="0"/>
        <w:textAlignment w:val="auto"/>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lang w:val="en-US" w:eastAsia="zh-CN"/>
        </w:rPr>
        <w:t>2. 评审标准</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2.1.1 资格评审标准：见评审办法表。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2.1.2 响应性评审标准：见评审办法表。</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2.2.1分值构成：</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报价：见</w:t>
      </w:r>
      <w:r>
        <w:rPr>
          <w:rFonts w:hint="default" w:asciiTheme="majorEastAsia" w:hAnsiTheme="majorEastAsia" w:eastAsiaTheme="majorEastAsia" w:cstheme="majorEastAsia"/>
          <w:kern w:val="0"/>
          <w:sz w:val="22"/>
          <w:szCs w:val="22"/>
          <w:u w:val="none"/>
          <w:lang w:val="en-US" w:eastAsia="zh-CN"/>
        </w:rPr>
        <w:t>评审办法前附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2.2.2 评标基准价计算</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评标基准价计算方法：见评审办法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2.2.3 评标价的偏差率计算</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评标价的偏差率计算公式：见评审办法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Theme="majorEastAsia" w:hAnsiTheme="majorEastAsia" w:eastAsiaTheme="majorEastAsia" w:cstheme="majorEastAsia"/>
          <w:kern w:val="0"/>
          <w:sz w:val="22"/>
          <w:szCs w:val="22"/>
          <w:u w:val="none"/>
          <w:lang w:val="en-US" w:eastAsia="zh-CN"/>
        </w:rPr>
        <w:t>2.2.4评分标准：投标报价评分标准：见评审办法</w:t>
      </w:r>
      <w:r>
        <w:rPr>
          <w:rFonts w:hint="default" w:asciiTheme="majorEastAsia" w:hAnsiTheme="majorEastAsia" w:eastAsiaTheme="majorEastAsia" w:cstheme="majorEastAsia"/>
          <w:kern w:val="0"/>
          <w:sz w:val="22"/>
          <w:szCs w:val="22"/>
          <w:u w:val="none"/>
          <w:lang w:val="en-US" w:eastAsia="zh-CN"/>
        </w:rPr>
        <w:t>前附</w:t>
      </w:r>
      <w:r>
        <w:rPr>
          <w:rFonts w:hint="eastAsia" w:asciiTheme="majorEastAsia" w:hAnsiTheme="majorEastAsia" w:eastAsiaTheme="majorEastAsia" w:cstheme="majorEastAsia"/>
          <w:kern w:val="0"/>
          <w:sz w:val="22"/>
          <w:szCs w:val="22"/>
          <w:u w:val="none"/>
          <w:lang w:val="en-US" w:eastAsia="zh-CN"/>
        </w:rPr>
        <w:t>表</w:t>
      </w:r>
      <w:r>
        <w:rPr>
          <w:rFonts w:hint="eastAsia" w:ascii="微软雅黑" w:hAnsi="微软雅黑" w:eastAsia="微软雅黑" w:cs="微软雅黑"/>
          <w:kern w:val="0"/>
          <w:sz w:val="21"/>
          <w:szCs w:val="21"/>
          <w:u w:val="none"/>
          <w:lang w:val="en-US" w:eastAsia="zh-CN"/>
        </w:rPr>
        <w:t>。</w:t>
      </w:r>
    </w:p>
    <w:p>
      <w:pPr>
        <w:keepNext/>
        <w:keepLines/>
        <w:pageBreakBefore w:val="0"/>
        <w:widowControl w:val="0"/>
        <w:kinsoku/>
        <w:wordWrap/>
        <w:overflowPunct/>
        <w:topLinePunct w:val="0"/>
        <w:autoSpaceDE/>
        <w:autoSpaceDN/>
        <w:bidi w:val="0"/>
        <w:adjustRightInd/>
        <w:snapToGrid/>
        <w:spacing w:line="400" w:lineRule="exact"/>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3.1.1评审小组对响应文件进行评审。有一项不符合评审标准的，评审小组应否决其响应文件。</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3.1.2 响应文件中填报的报价大小写不一致时，按细微偏差处理，并以报价大写填报的为准。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 详细评审</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3.2.1 评审小组按本章第2.2款规定的量化因素和分值进行打分，并计算出报价得分。</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3.2.2 评分分值计算保留小数点后两位，小数点后第三位“四舍五入”。</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3.3 否决响应文件的其他情形</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对在评审过程中发现供应商存在串通报价、弄虚作假、行贿等违法行为的，评审小组应否决其响应文件。</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3.4 响应文件的澄清</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3.4.1 在评审过程中，评审小组可以书面形式要求供应商对响应文件中含义不明确、对同类问题表述不一致或者有明显文字错误的内容做必要的澄清。评审小组不接受供应商主动提出的澄清。</w:t>
      </w:r>
    </w:p>
    <w:p>
      <w:pPr>
        <w:spacing w:line="360" w:lineRule="auto"/>
        <w:ind w:firstLine="420"/>
        <w:outlineLvl w:val="0"/>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kern w:val="0"/>
          <w:sz w:val="22"/>
          <w:szCs w:val="22"/>
          <w:u w:val="none"/>
          <w:lang w:val="en-US" w:eastAsia="zh-CN"/>
        </w:rPr>
        <w:t>3.4.2 澄清不得超出响应文件的范围且不得改变响应文件的实质性内容，并构成响应文件的组成部分</w:t>
      </w:r>
      <w:r>
        <w:rPr>
          <w:rFonts w:hint="eastAsia" w:asciiTheme="majorEastAsia" w:hAnsiTheme="majorEastAsia" w:eastAsiaTheme="majorEastAsia" w:cstheme="majorEastAsia"/>
          <w:color w:val="auto"/>
          <w:sz w:val="22"/>
          <w:szCs w:val="22"/>
          <w:highlight w:val="none"/>
          <w:lang w:val="en-US" w:eastAsia="zh-CN"/>
        </w:rPr>
        <w:t>。</w:t>
      </w:r>
    </w:p>
    <w:p>
      <w:pPr>
        <w:pStyle w:val="6"/>
        <w:numPr>
          <w:ilvl w:val="0"/>
          <w:numId w:val="0"/>
        </w:numPr>
        <w:ind w:left="417" w:leftChars="0"/>
        <w:jc w:val="both"/>
        <w:rPr>
          <w:rFonts w:hint="eastAsia" w:asciiTheme="majorEastAsia" w:hAnsiTheme="majorEastAsia" w:eastAsiaTheme="majorEastAsia" w:cstheme="majorEastAsia"/>
          <w:color w:val="auto"/>
          <w:sz w:val="22"/>
          <w:szCs w:val="22"/>
          <w:highlight w:val="none"/>
          <w:lang w:val="en-US" w:eastAsia="zh-CN"/>
        </w:rPr>
      </w:pPr>
      <w:r>
        <w:rPr>
          <w:rFonts w:hint="eastAsia" w:asciiTheme="majorEastAsia" w:hAnsiTheme="majorEastAsia" w:eastAsiaTheme="majorEastAsia" w:cstheme="majorEastAsia"/>
          <w:b w:val="0"/>
          <w:bCs/>
          <w:kern w:val="2"/>
          <w:sz w:val="22"/>
          <w:szCs w:val="22"/>
          <w:lang w:val="en-US" w:eastAsia="zh-CN" w:bidi="ar-SA"/>
        </w:rPr>
        <w:t>3.5投标报价评审</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Theme="majorEastAsia" w:hAnsiTheme="majorEastAsia" w:eastAsiaTheme="majorEastAsia" w:cstheme="majorEastAsia"/>
          <w:b/>
          <w:bCs/>
          <w:color w:val="auto"/>
          <w:sz w:val="22"/>
          <w:szCs w:val="22"/>
          <w:highlight w:val="green"/>
          <w:lang w:val="en-US" w:eastAsia="zh-CN"/>
        </w:rPr>
      </w:pPr>
      <w:r>
        <w:rPr>
          <w:rFonts w:hint="eastAsia" w:asciiTheme="majorEastAsia" w:hAnsiTheme="majorEastAsia" w:eastAsiaTheme="majorEastAsia" w:cstheme="majorEastAsia"/>
          <w:b/>
          <w:bCs/>
          <w:color w:val="auto"/>
          <w:sz w:val="22"/>
          <w:szCs w:val="22"/>
          <w:highlight w:val="green"/>
          <w:lang w:val="en-US" w:eastAsia="zh-CN"/>
        </w:rPr>
        <w:t>投标报价高于最高投标限价的98%或投标报价低于最高投标限价的95%做无效标处理。</w:t>
      </w:r>
    </w:p>
    <w:p>
      <w:pPr>
        <w:spacing w:line="360" w:lineRule="auto"/>
        <w:ind w:firstLine="420"/>
        <w:outlineLvl w:val="0"/>
        <w:rPr>
          <w:rFonts w:hint="eastAsia" w:asciiTheme="majorEastAsia" w:hAnsiTheme="majorEastAsia" w:eastAsiaTheme="majorEastAsia" w:cstheme="majorEastAsia"/>
          <w:kern w:val="0"/>
          <w:sz w:val="22"/>
          <w:szCs w:val="22"/>
          <w:u w:val="none"/>
        </w:rPr>
      </w:pPr>
      <w:r>
        <w:rPr>
          <w:rFonts w:hint="eastAsia" w:asciiTheme="majorEastAsia" w:hAnsiTheme="majorEastAsia" w:eastAsiaTheme="majorEastAsia" w:cstheme="majorEastAsia"/>
          <w:kern w:val="0"/>
          <w:sz w:val="22"/>
          <w:szCs w:val="22"/>
          <w:u w:val="none"/>
        </w:rPr>
        <w:t>3.</w:t>
      </w:r>
      <w:r>
        <w:rPr>
          <w:rFonts w:hint="eastAsia" w:asciiTheme="majorEastAsia" w:hAnsiTheme="majorEastAsia" w:eastAsiaTheme="majorEastAsia" w:cstheme="majorEastAsia"/>
          <w:kern w:val="0"/>
          <w:sz w:val="22"/>
          <w:szCs w:val="22"/>
          <w:u w:val="none"/>
          <w:lang w:val="en-US" w:eastAsia="zh-CN"/>
        </w:rPr>
        <w:t>6</w:t>
      </w:r>
      <w:r>
        <w:rPr>
          <w:rFonts w:hint="eastAsia" w:asciiTheme="majorEastAsia" w:hAnsiTheme="majorEastAsia" w:eastAsiaTheme="majorEastAsia" w:cstheme="majorEastAsia"/>
          <w:kern w:val="0"/>
          <w:sz w:val="22"/>
          <w:szCs w:val="22"/>
          <w:u w:val="none"/>
        </w:rPr>
        <w:t xml:space="preserve"> 评审结果</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评审小组完成评审后，应当向采购人提交评审报告。评审报告应当如实记载以下内容：</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（一）采购项目基本情况</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（二）采购过程回顾</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（三）评审小组成员名单</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（四）评审工作</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1.评审办法</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2.初步评审情况（资格审查、形式性审查、响应性审查）</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3.详细评审情况（供应商的综合评分情况）</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4.否决的供应商名单以及否决理由（如有）</w:t>
      </w:r>
    </w:p>
    <w:p>
      <w:pPr>
        <w:spacing w:line="360" w:lineRule="auto"/>
        <w:ind w:firstLine="42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5.推荐候选供应商排序</w:t>
      </w:r>
    </w:p>
    <w:p>
      <w:pPr>
        <w:spacing w:line="360" w:lineRule="auto"/>
        <w:ind w:firstLine="440" w:firstLineChars="200"/>
        <w:outlineLvl w:val="0"/>
        <w:rPr>
          <w:rFonts w:hint="eastAsia" w:asciiTheme="majorEastAsia" w:hAnsiTheme="majorEastAsia" w:eastAsiaTheme="majorEastAsia" w:cstheme="majorEastAsia"/>
          <w:kern w:val="0"/>
          <w:sz w:val="22"/>
          <w:szCs w:val="22"/>
          <w:u w:val="none"/>
          <w:lang w:val="en-US" w:eastAsia="zh-CN"/>
        </w:rPr>
      </w:pPr>
      <w:r>
        <w:rPr>
          <w:rFonts w:hint="eastAsia" w:asciiTheme="majorEastAsia" w:hAnsiTheme="majorEastAsia" w:eastAsiaTheme="majorEastAsia" w:cstheme="majorEastAsia"/>
          <w:kern w:val="0"/>
          <w:sz w:val="22"/>
          <w:szCs w:val="22"/>
          <w:u w:val="none"/>
          <w:lang w:val="en-US" w:eastAsia="zh-CN"/>
        </w:rPr>
        <w:t>（五）需要说明的其他事项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（六）评审附表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1.响应文件开启记录表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highlight w:val="none"/>
          <w:lang w:val="en-US" w:eastAsia="zh-CN"/>
        </w:rPr>
      </w:pPr>
      <w:r>
        <w:rPr>
          <w:rFonts w:hint="eastAsia" w:ascii="宋体" w:hAnsi="宋体" w:eastAsia="宋体" w:cs="宋体"/>
          <w:spacing w:val="6"/>
          <w:sz w:val="22"/>
          <w:szCs w:val="22"/>
          <w:highlight w:val="none"/>
          <w:lang w:val="en-US" w:eastAsia="zh-CN"/>
        </w:rPr>
        <w:t>2.评审表格</w:t>
      </w:r>
    </w:p>
    <w:p>
      <w:pPr>
        <w:pStyle w:val="5"/>
        <w:numPr>
          <w:ilvl w:val="0"/>
          <w:numId w:val="0"/>
        </w:numPr>
        <w:spacing w:before="312" w:after="312"/>
        <w:rPr>
          <w:rFonts w:hint="eastAsia" w:ascii="Times New Roman" w:hAnsi="Times New Roman" w:eastAsia="宋体" w:cs="Times New Roman"/>
        </w:rPr>
      </w:pPr>
    </w:p>
    <w:p>
      <w:pPr>
        <w:rPr>
          <w:rFonts w:hint="eastAsia" w:ascii="Times New Roman" w:hAnsi="Times New Roman" w:eastAsia="宋体" w:cs="Times New Roman"/>
        </w:rPr>
      </w:pPr>
    </w:p>
    <w:p>
      <w:pPr>
        <w:pStyle w:val="2"/>
        <w:rPr>
          <w:rFonts w:hint="eastAsia" w:ascii="Times New Roman" w:hAnsi="Times New Roman" w:eastAsia="宋体" w:cs="Times New Roman"/>
        </w:rPr>
      </w:pPr>
    </w:p>
    <w:p>
      <w:pPr>
        <w:rPr>
          <w:rFonts w:hint="eastAsia" w:ascii="Times New Roman" w:hAnsi="Times New Roman" w:eastAsia="宋体" w:cs="Times New Roman"/>
        </w:rPr>
      </w:pPr>
    </w:p>
    <w:p>
      <w:pPr>
        <w:rPr>
          <w:rFonts w:hint="eastAsia" w:ascii="Times New Roman" w:hAnsi="Times New Roman" w:eastAsia="宋体" w:cs="Times New Roman"/>
        </w:rPr>
      </w:pPr>
    </w:p>
    <w:p>
      <w:pPr>
        <w:keepNext w:val="0"/>
        <w:keepLines w:val="0"/>
        <w:pageBreakBefore w:val="0"/>
        <w:widowControl/>
        <w:kinsoku w:val="0"/>
        <w:wordWrap/>
        <w:overflowPunct/>
        <w:topLinePunct w:val="0"/>
        <w:autoSpaceDE w:val="0"/>
        <w:autoSpaceDN w:val="0"/>
        <w:bidi w:val="0"/>
        <w:adjustRightInd w:val="0"/>
        <w:snapToGrid w:val="0"/>
        <w:spacing w:before="94" w:line="360" w:lineRule="auto"/>
        <w:jc w:val="both"/>
        <w:textAlignment w:val="baseline"/>
        <w:rPr>
          <w:rFonts w:ascii="宋体" w:hAnsi="宋体" w:eastAsia="宋体" w:cs="宋体"/>
          <w:b/>
          <w:bCs/>
          <w:spacing w:val="6"/>
          <w:sz w:val="29"/>
          <w:szCs w:val="29"/>
        </w:rPr>
        <w:sectPr>
          <w:footerReference r:id="rId5" w:type="default"/>
          <w:pgSz w:w="11906" w:h="16838"/>
          <w:pgMar w:top="1440" w:right="1800" w:bottom="1440" w:left="1800" w:header="851" w:footer="992" w:gutter="0"/>
          <w:pgNumType w:fmt="decimal"/>
          <w:cols w:space="720" w:num="1"/>
          <w:docGrid w:type="lines" w:linePitch="312" w:charSpace="0"/>
        </w:sectPr>
      </w:pPr>
      <w:bookmarkStart w:id="49" w:name="_bookmark259"/>
      <w:bookmarkEnd w:id="49"/>
    </w:p>
    <w:p>
      <w:pPr>
        <w:spacing w:line="360" w:lineRule="auto"/>
        <w:ind w:firstLine="3522" w:firstLineChars="1100"/>
        <w:outlineLvl w:val="0"/>
      </w:pPr>
      <w:bookmarkStart w:id="50" w:name="_Toc12005"/>
      <w:bookmarkStart w:id="51" w:name="_Toc16698_WPSOffice_Level2"/>
      <w:bookmarkStart w:id="52" w:name="_Toc447808679"/>
      <w:r>
        <w:rPr>
          <w:rFonts w:hint="eastAsia" w:ascii="微软雅黑" w:hAnsi="微软雅黑" w:eastAsia="微软雅黑" w:cs="微软雅黑"/>
          <w:b/>
          <w:bCs/>
          <w:kern w:val="0"/>
          <w:sz w:val="32"/>
          <w:szCs w:val="32"/>
        </w:rPr>
        <w:t>第四章 合同主要条款</w:t>
      </w:r>
      <w:bookmarkEnd w:id="46"/>
      <w:bookmarkEnd w:id="47"/>
      <w:bookmarkEnd w:id="50"/>
      <w:bookmarkEnd w:id="51"/>
      <w:bookmarkEnd w:id="52"/>
      <w:bookmarkStart w:id="53" w:name="_Toc501460622"/>
    </w:p>
    <w:p>
      <w:pPr>
        <w:pStyle w:val="6"/>
        <w:widowControl w:val="0"/>
        <w:numPr>
          <w:ilvl w:val="0"/>
          <w:numId w:val="0"/>
        </w:numPr>
        <w:kinsoku/>
        <w:autoSpaceDE/>
        <w:autoSpaceDN/>
        <w:adjustRightInd/>
        <w:snapToGrid/>
        <w:ind w:left="400" w:leftChars="0" w:firstLine="2987" w:firstLineChars="800"/>
        <w:jc w:val="both"/>
        <w:textAlignment w:val="auto"/>
        <w:rPr>
          <w:rFonts w:hint="eastAsia" w:ascii="方正小标宋简体" w:hAnsi="方正小标宋简体" w:eastAsia="方正小标宋简体" w:cs="方正小标宋简体"/>
          <w:b/>
          <w:bCs/>
          <w:spacing w:val="6"/>
          <w:sz w:val="36"/>
          <w:szCs w:val="36"/>
        </w:rPr>
      </w:pPr>
      <w:r>
        <w:rPr>
          <w:rFonts w:hint="eastAsia" w:ascii="方正小标宋简体" w:hAnsi="方正小标宋简体" w:eastAsia="方正小标宋简体" w:cs="方正小标宋简体"/>
          <w:b/>
          <w:bCs/>
          <w:spacing w:val="6"/>
          <w:sz w:val="36"/>
          <w:szCs w:val="36"/>
          <w:lang w:val="en-US" w:eastAsia="zh-CN"/>
        </w:rPr>
        <w:t>PC</w:t>
      </w:r>
      <w:r>
        <w:rPr>
          <w:rFonts w:hint="eastAsia" w:ascii="方正小标宋简体" w:hAnsi="方正小标宋简体" w:eastAsia="方正小标宋简体" w:cs="方正小标宋简体"/>
          <w:b/>
          <w:bCs/>
          <w:spacing w:val="6"/>
          <w:sz w:val="36"/>
          <w:szCs w:val="36"/>
        </w:rPr>
        <w:t>预制构件</w:t>
      </w:r>
      <w:r>
        <w:rPr>
          <w:rFonts w:hint="eastAsia" w:ascii="方正小标宋简体" w:hAnsi="方正小标宋简体" w:eastAsia="方正小标宋简体" w:cs="方正小标宋简体"/>
          <w:color w:val="auto"/>
          <w:kern w:val="0"/>
          <w:sz w:val="36"/>
          <w:szCs w:val="36"/>
          <w:lang w:val="en-US" w:eastAsia="zh-CN" w:bidi="en-US"/>
        </w:rPr>
        <w:t>采购</w:t>
      </w:r>
      <w:r>
        <w:rPr>
          <w:rFonts w:hint="eastAsia" w:ascii="方正小标宋简体" w:hAnsi="方正小标宋简体" w:eastAsia="方正小标宋简体" w:cs="方正小标宋简体"/>
          <w:b/>
          <w:bCs/>
          <w:spacing w:val="6"/>
          <w:sz w:val="36"/>
          <w:szCs w:val="36"/>
        </w:rPr>
        <w:t>合同</w:t>
      </w:r>
    </w:p>
    <w:p>
      <w:pPr>
        <w:pStyle w:val="2"/>
        <w:rPr>
          <w:sz w:val="16"/>
          <w:szCs w:val="16"/>
        </w:rPr>
      </w:pP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83"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根据《中华人民共和国民法典》,《中华人民共和国产品质量法》及其它有关法律法规，甲乙双方经过友好协商，本着诚实守信，互惠互利的原则，双方</w:t>
      </w:r>
      <w:r>
        <w:rPr>
          <w:rFonts w:ascii="宋体" w:hAnsi="宋体" w:eastAsia="宋体" w:cs="宋体"/>
          <w:spacing w:val="6"/>
          <w:sz w:val="22"/>
          <w:szCs w:val="22"/>
          <w:u w:val="none" w:color="auto"/>
        </w:rPr>
        <w:t>就</w:t>
      </w:r>
      <w:r>
        <w:rPr>
          <w:rFonts w:hint="eastAsia" w:ascii="宋体" w:hAnsi="宋体" w:eastAsia="宋体" w:cs="宋体"/>
          <w:spacing w:val="6"/>
          <w:sz w:val="22"/>
          <w:szCs w:val="22"/>
          <w:u w:val="none" w:color="auto"/>
          <w:lang w:val="en-US" w:eastAsia="zh-CN"/>
        </w:rPr>
        <w:t xml:space="preserve"> </w:t>
      </w:r>
      <w:r>
        <w:rPr>
          <w:rFonts w:hint="eastAsia" w:ascii="宋体" w:hAnsi="宋体" w:eastAsia="宋体" w:cs="宋体"/>
          <w:spacing w:val="6"/>
          <w:sz w:val="22"/>
          <w:szCs w:val="22"/>
          <w:u w:val="single" w:color="auto"/>
          <w:lang w:val="en-US" w:eastAsia="zh-CN"/>
        </w:rPr>
        <w:t xml:space="preserve">                </w:t>
      </w:r>
      <w:r>
        <w:rPr>
          <w:rFonts w:ascii="宋体" w:hAnsi="宋体" w:eastAsia="宋体" w:cs="宋体"/>
          <w:spacing w:val="6"/>
          <w:sz w:val="22"/>
          <w:szCs w:val="22"/>
        </w:rPr>
        <w:t>的</w:t>
      </w:r>
      <w:r>
        <w:rPr>
          <w:rFonts w:hint="eastAsia" w:ascii="宋体" w:hAnsi="宋体" w:eastAsia="宋体" w:cs="宋体"/>
          <w:spacing w:val="6"/>
          <w:sz w:val="22"/>
          <w:szCs w:val="22"/>
          <w:lang w:val="en-US" w:eastAsia="zh-CN"/>
        </w:rPr>
        <w:t>PC</w:t>
      </w:r>
      <w:r>
        <w:rPr>
          <w:rFonts w:ascii="宋体" w:hAnsi="宋体" w:eastAsia="宋体" w:cs="宋体"/>
          <w:spacing w:val="6"/>
          <w:sz w:val="22"/>
          <w:szCs w:val="22"/>
        </w:rPr>
        <w:t>预制构件采购事项协商一致，结合本工程的具体情况，订立以下合同条款：</w:t>
      </w:r>
    </w:p>
    <w:p>
      <w:pPr>
        <w:keepNext w:val="0"/>
        <w:keepLines w:val="0"/>
        <w:pageBreakBefore w:val="0"/>
        <w:widowControl/>
        <w:kinsoku w:val="0"/>
        <w:wordWrap/>
        <w:overflowPunct/>
        <w:topLinePunct w:val="0"/>
        <w:autoSpaceDE w:val="0"/>
        <w:autoSpaceDN w:val="0"/>
        <w:bidi w:val="0"/>
        <w:adjustRightInd w:val="0"/>
        <w:snapToGrid w:val="0"/>
        <w:spacing w:before="212" w:line="300" w:lineRule="auto"/>
        <w:ind w:firstLine="759" w:firstLineChars="300"/>
        <w:jc w:val="both"/>
        <w:textAlignment w:val="baseline"/>
        <w:rPr>
          <w:rFonts w:ascii="宋体" w:hAnsi="宋体" w:eastAsia="宋体" w:cs="宋体"/>
          <w:spacing w:val="6"/>
          <w:sz w:val="24"/>
          <w:szCs w:val="24"/>
        </w:rPr>
      </w:pPr>
      <w:r>
        <w:rPr>
          <w:rFonts w:ascii="宋体" w:hAnsi="宋体" w:eastAsia="宋体" w:cs="宋体"/>
          <w:b/>
          <w:bCs/>
          <w:spacing w:val="6"/>
          <w:sz w:val="24"/>
          <w:szCs w:val="24"/>
        </w:rPr>
        <w:t>一</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工程概况</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 xml:space="preserve">1、工程名称：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2、建设单位</w:t>
      </w:r>
      <w:r>
        <w:rPr>
          <w:rFonts w:hint="eastAsia" w:ascii="宋体" w:hAnsi="宋体" w:eastAsia="宋体" w:cs="宋体"/>
          <w:spacing w:val="6"/>
          <w:sz w:val="22"/>
          <w:szCs w:val="22"/>
          <w:lang w:eastAsia="zh-CN"/>
        </w:rPr>
        <w:t>：</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3、工程地点(交货地点):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ascii="宋体" w:hAnsi="宋体" w:eastAsia="宋体" w:cs="宋体"/>
          <w:spacing w:val="6"/>
          <w:sz w:val="22"/>
          <w:szCs w:val="22"/>
        </w:rPr>
      </w:pPr>
      <w:r>
        <w:rPr>
          <w:rFonts w:ascii="宋体" w:hAnsi="宋体" w:eastAsia="宋体" w:cs="宋体"/>
          <w:spacing w:val="6"/>
          <w:sz w:val="22"/>
          <w:szCs w:val="22"/>
        </w:rPr>
        <w:t xml:space="preserve">4、地上建筑面积： </w:t>
      </w:r>
      <w:r>
        <w:rPr>
          <w:rFonts w:ascii="宋体" w:hAnsi="宋体" w:eastAsia="宋体" w:cs="宋体"/>
          <w:spacing w:val="6"/>
          <w:sz w:val="22"/>
          <w:szCs w:val="22"/>
          <w:u w:val="single" w:color="auto"/>
        </w:rPr>
        <w:t xml:space="preserve"> </w:t>
      </w:r>
      <w:r>
        <w:rPr>
          <w:rFonts w:hint="eastAsia" w:ascii="宋体" w:hAnsi="宋体" w:eastAsia="宋体" w:cs="宋体"/>
          <w:spacing w:val="6"/>
          <w:sz w:val="22"/>
          <w:szCs w:val="22"/>
          <w:u w:val="single" w:color="auto"/>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5" w:line="300" w:lineRule="auto"/>
        <w:ind w:firstLine="696" w:firstLineChars="300"/>
        <w:jc w:val="left"/>
        <w:textAlignment w:val="baseline"/>
        <w:rPr>
          <w:rFonts w:hint="default" w:ascii="宋体" w:hAnsi="宋体" w:eastAsia="宋体" w:cs="宋体"/>
          <w:spacing w:val="6"/>
          <w:sz w:val="22"/>
          <w:szCs w:val="22"/>
          <w:u w:val="single"/>
          <w:lang w:val="en-US" w:eastAsia="zh-CN"/>
        </w:rPr>
      </w:pPr>
      <w:r>
        <w:rPr>
          <w:rFonts w:ascii="宋体" w:hAnsi="宋体" w:eastAsia="宋体" w:cs="宋体"/>
          <w:spacing w:val="6"/>
          <w:sz w:val="22"/>
          <w:szCs w:val="22"/>
        </w:rPr>
        <w:t xml:space="preserve">5、项目装配率：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36 %</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二</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供货范围、</w:t>
      </w:r>
      <w:r>
        <w:rPr>
          <w:rFonts w:hint="eastAsia" w:ascii="宋体" w:hAnsi="宋体" w:eastAsia="宋体" w:cs="宋体"/>
          <w:b/>
          <w:bCs/>
          <w:spacing w:val="6"/>
          <w:sz w:val="24"/>
          <w:szCs w:val="24"/>
          <w:lang w:eastAsia="zh-CN"/>
        </w:rPr>
        <w:t>名称、</w:t>
      </w:r>
      <w:r>
        <w:rPr>
          <w:rFonts w:ascii="宋体" w:hAnsi="宋体" w:eastAsia="宋体" w:cs="宋体"/>
          <w:b/>
          <w:bCs/>
          <w:spacing w:val="6"/>
          <w:sz w:val="24"/>
          <w:szCs w:val="24"/>
        </w:rPr>
        <w:t>数量及价款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1、本合同供货范围以本条第4款约定为准，本条第4款约定数量为暂定数量，最终供货数量由甲乙双方在供货范围内，按</w:t>
      </w:r>
      <w:r>
        <w:rPr>
          <w:rFonts w:hint="eastAsia" w:ascii="宋体" w:hAnsi="宋体" w:eastAsia="宋体" w:cs="宋体"/>
          <w:spacing w:val="6"/>
          <w:sz w:val="22"/>
          <w:szCs w:val="22"/>
          <w:lang w:eastAsia="zh-CN"/>
        </w:rPr>
        <w:t>最终深化</w:t>
      </w:r>
      <w:r>
        <w:rPr>
          <w:rFonts w:ascii="宋体" w:hAnsi="宋体" w:eastAsia="宋体" w:cs="宋体"/>
          <w:spacing w:val="6"/>
          <w:sz w:val="22"/>
          <w:szCs w:val="22"/>
        </w:rPr>
        <w:t>图纸数量</w:t>
      </w:r>
      <w:r>
        <w:rPr>
          <w:rFonts w:hint="eastAsia" w:ascii="宋体" w:hAnsi="宋体" w:eastAsia="宋体" w:cs="宋体"/>
          <w:spacing w:val="6"/>
          <w:sz w:val="22"/>
          <w:szCs w:val="22"/>
          <w:lang w:eastAsia="zh-CN"/>
        </w:rPr>
        <w:t>并</w:t>
      </w:r>
      <w:r>
        <w:rPr>
          <w:rFonts w:ascii="宋体" w:hAnsi="宋体" w:eastAsia="宋体" w:cs="宋体"/>
          <w:spacing w:val="6"/>
          <w:sz w:val="22"/>
          <w:szCs w:val="22"/>
        </w:rPr>
        <w:t>结合乙方实际供货量据实进行结算。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2、本合同所采购的计价、结算和支付货币均为人民币。</w:t>
      </w:r>
    </w:p>
    <w:p>
      <w:pPr>
        <w:keepNext w:val="0"/>
        <w:keepLines w:val="0"/>
        <w:pageBreakBefore w:val="0"/>
        <w:widowControl/>
        <w:kinsoku w:val="0"/>
        <w:wordWrap/>
        <w:overflowPunct/>
        <w:topLinePunct w:val="0"/>
        <w:autoSpaceDE w:val="0"/>
        <w:autoSpaceDN w:val="0"/>
        <w:bidi w:val="0"/>
        <w:adjustRightInd w:val="0"/>
        <w:snapToGrid w:val="0"/>
        <w:spacing w:before="46" w:line="30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3</w:t>
      </w:r>
      <w:r>
        <w:rPr>
          <w:rFonts w:ascii="宋体" w:hAnsi="宋体" w:eastAsia="宋体" w:cs="宋体"/>
          <w:spacing w:val="6"/>
          <w:sz w:val="22"/>
          <w:szCs w:val="22"/>
        </w:rPr>
        <w:t>、采购清单</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 w:firstLineChars="200"/>
        <w:jc w:val="both"/>
        <w:textAlignment w:val="baseline"/>
        <w:rPr>
          <w:rFonts w:ascii="Arial"/>
          <w:spacing w:val="6"/>
          <w:sz w:val="2"/>
        </w:rPr>
      </w:pPr>
    </w:p>
    <w:tbl>
      <w:tblPr>
        <w:tblStyle w:val="24"/>
        <w:tblW w:w="86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132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32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3020" cy="90170"/>
                  <wp:effectExtent l="0" t="0" r="0" b="0"/>
                  <wp:wrapNone/>
                  <wp:docPr id="10" name="图片_2"/>
                  <wp:cNvGraphicFramePr/>
                  <a:graphic xmlns:a="http://schemas.openxmlformats.org/drawingml/2006/main">
                    <a:graphicData uri="http://schemas.openxmlformats.org/drawingml/2006/picture">
                      <pic:pic xmlns:pic="http://schemas.openxmlformats.org/drawingml/2006/picture">
                        <pic:nvPicPr>
                          <pic:cNvPr id="10" name="图片_2"/>
                          <pic:cNvPicPr/>
                        </pic:nvPicPr>
                        <pic:blipFill>
                          <a:blip r:embed="rId12"/>
                          <a:stretch>
                            <a:fillRect/>
                          </a:stretch>
                        </pic:blipFill>
                        <pic:spPr>
                          <a:xfrm>
                            <a:off x="0" y="0"/>
                            <a:ext cx="33020" cy="90170"/>
                          </a:xfrm>
                          <a:prstGeom prst="rect">
                            <a:avLst/>
                          </a:prstGeom>
                          <a:noFill/>
                          <a:ln>
                            <a:noFill/>
                          </a:ln>
                        </pic:spPr>
                      </pic:pic>
                    </a:graphicData>
                  </a:graphic>
                </wp:anchor>
              </w:drawing>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2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3020" cy="90170"/>
                  <wp:effectExtent l="0" t="0" r="0" b="0"/>
                  <wp:wrapNone/>
                  <wp:docPr id="11" name="图片_4"/>
                  <wp:cNvGraphicFramePr/>
                  <a:graphic xmlns:a="http://schemas.openxmlformats.org/drawingml/2006/main">
                    <a:graphicData uri="http://schemas.openxmlformats.org/drawingml/2006/picture">
                      <pic:pic xmlns:pic="http://schemas.openxmlformats.org/drawingml/2006/picture">
                        <pic:nvPicPr>
                          <pic:cNvPr id="11" name="图片_4"/>
                          <pic:cNvPicPr/>
                        </pic:nvPicPr>
                        <pic:blipFill>
                          <a:blip r:embed="rId13"/>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3020" cy="90170"/>
                  <wp:effectExtent l="0" t="0" r="0" b="0"/>
                  <wp:wrapNone/>
                  <wp:docPr id="12" name="图片_5"/>
                  <wp:cNvGraphicFramePr/>
                  <a:graphic xmlns:a="http://schemas.openxmlformats.org/drawingml/2006/main">
                    <a:graphicData uri="http://schemas.openxmlformats.org/drawingml/2006/picture">
                      <pic:pic xmlns:pic="http://schemas.openxmlformats.org/drawingml/2006/picture">
                        <pic:nvPicPr>
                          <pic:cNvPr id="12" name="图片_5"/>
                          <pic:cNvPicPr/>
                        </pic:nvPicPr>
                        <pic:blipFill>
                          <a:blip r:embed="rId14"/>
                          <a:stretch>
                            <a:fillRect/>
                          </a:stretch>
                        </pic:blipFill>
                        <pic:spPr>
                          <a:xfrm>
                            <a:off x="0" y="0"/>
                            <a:ext cx="33020" cy="90170"/>
                          </a:xfrm>
                          <a:prstGeom prst="rect">
                            <a:avLst/>
                          </a:prstGeom>
                          <a:noFill/>
                          <a:ln>
                            <a:noFill/>
                          </a:ln>
                        </pic:spPr>
                      </pic:pic>
                    </a:graphicData>
                  </a:graphic>
                </wp:anchor>
              </w:drawing>
            </w:r>
          </w:p>
        </w:tc>
        <w:tc>
          <w:tcPr>
            <w:tcW w:w="122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132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keepNext w:val="0"/>
        <w:keepLines w:val="0"/>
        <w:pageBreakBefore w:val="0"/>
        <w:widowControl/>
        <w:kinsoku w:val="0"/>
        <w:wordWrap/>
        <w:overflowPunct/>
        <w:topLinePunct w:val="0"/>
        <w:autoSpaceDE w:val="0"/>
        <w:autoSpaceDN w:val="0"/>
        <w:bidi w:val="0"/>
        <w:adjustRightInd w:val="0"/>
        <w:snapToGrid w:val="0"/>
        <w:spacing w:before="183" w:line="360" w:lineRule="auto"/>
        <w:ind w:firstLine="666" w:firstLineChars="300"/>
        <w:jc w:val="both"/>
        <w:textAlignment w:val="baseline"/>
        <w:rPr>
          <w:rFonts w:ascii="宋体" w:hAnsi="宋体" w:eastAsia="宋体" w:cs="宋体"/>
          <w:spacing w:val="6"/>
          <w:sz w:val="21"/>
          <w:szCs w:val="21"/>
        </w:rPr>
      </w:pPr>
      <w:r>
        <w:rPr>
          <w:rFonts w:ascii="宋体" w:hAnsi="宋体" w:eastAsia="宋体" w:cs="宋体"/>
          <w:spacing w:val="6"/>
          <w:sz w:val="21"/>
          <w:szCs w:val="21"/>
        </w:rPr>
        <w:t xml:space="preserve">合同暂定总价款人民币(大写):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5" w:line="360" w:lineRule="auto"/>
        <w:ind w:firstLine="666" w:firstLineChars="300"/>
        <w:jc w:val="both"/>
        <w:textAlignment w:val="baseline"/>
        <w:rPr>
          <w:rFonts w:ascii="Arial"/>
          <w:spacing w:val="6"/>
          <w:sz w:val="21"/>
          <w:szCs w:val="21"/>
        </w:rPr>
      </w:pPr>
      <w:r>
        <w:rPr>
          <w:rFonts w:ascii="宋体" w:hAnsi="宋体" w:eastAsia="宋体" w:cs="宋体"/>
          <w:spacing w:val="6"/>
          <w:sz w:val="21"/>
          <w:szCs w:val="21"/>
        </w:rPr>
        <w:t xml:space="preserve">(小写):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ascii="宋体" w:hAnsi="宋体" w:eastAsia="宋体" w:cs="宋体"/>
          <w:spacing w:val="6"/>
          <w:sz w:val="21"/>
          <w:szCs w:val="21"/>
        </w:rPr>
        <w:t>元。</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三</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质量标准及要求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1、甲方采购乙方的PC预制构件，其生产的规范、检验、检测标准，生产的产品质量必须符合现行国家和地方标准，产品制作与验收执行《装配式混凝土结构技术规程》</w:t>
      </w:r>
      <w:r>
        <w:rPr>
          <w:rFonts w:hint="eastAsia" w:ascii="宋体" w:hAnsi="宋体" w:eastAsia="宋体" w:cs="宋体"/>
          <w:spacing w:val="6"/>
          <w:sz w:val="22"/>
          <w:szCs w:val="22"/>
          <w:lang w:val="en-US" w:eastAsia="en-US"/>
        </w:rPr>
        <w:t>（JGJ1-2014）</w:t>
      </w:r>
      <w:r>
        <w:rPr>
          <w:rFonts w:hint="eastAsia" w:ascii="宋体" w:hAnsi="宋体" w:eastAsia="宋体" w:cs="宋体"/>
          <w:spacing w:val="6"/>
          <w:sz w:val="22"/>
          <w:szCs w:val="22"/>
          <w:lang w:val="en-US" w:eastAsia="zh-CN"/>
        </w:rPr>
        <w:t>、《混凝土结构工程施工、质量验收规范》</w:t>
      </w:r>
      <w:r>
        <w:rPr>
          <w:rFonts w:hint="eastAsia" w:ascii="宋体" w:hAnsi="宋体" w:eastAsia="宋体" w:cs="宋体"/>
          <w:spacing w:val="6"/>
          <w:sz w:val="22"/>
          <w:szCs w:val="22"/>
          <w:lang w:val="en-US" w:eastAsia="en-US"/>
        </w:rPr>
        <w:t xml:space="preserve">（GB50204-2002 </w:t>
      </w:r>
      <w:r>
        <w:rPr>
          <w:rFonts w:hint="eastAsia" w:ascii="宋体" w:hAnsi="宋体" w:eastAsia="宋体" w:cs="宋体"/>
          <w:spacing w:val="6"/>
          <w:sz w:val="22"/>
          <w:szCs w:val="22"/>
          <w:lang w:val="en-US" w:eastAsia="zh-CN"/>
        </w:rPr>
        <w:t>（2010年版）</w:t>
      </w:r>
      <w:r>
        <w:rPr>
          <w:rFonts w:hint="eastAsia" w:ascii="宋体" w:hAnsi="宋体" w:eastAsia="宋体" w:cs="宋体"/>
          <w:color w:val="auto"/>
          <w:spacing w:val="6"/>
          <w:sz w:val="22"/>
          <w:szCs w:val="22"/>
          <w:lang w:val="en-US" w:eastAsia="zh-CN"/>
        </w:rPr>
        <w:t>）、《GBT 51231-2016 装配式混凝土建筑技术标准》等国家、地方、行业其它有</w:t>
      </w:r>
      <w:r>
        <w:rPr>
          <w:rFonts w:hint="eastAsia" w:ascii="宋体" w:hAnsi="宋体" w:eastAsia="宋体" w:cs="宋体"/>
          <w:spacing w:val="6"/>
          <w:sz w:val="22"/>
          <w:szCs w:val="22"/>
          <w:lang w:val="en-US" w:eastAsia="zh-CN"/>
        </w:rPr>
        <w:t>关标准</w:t>
      </w:r>
      <w:r>
        <w:rPr>
          <w:rFonts w:ascii="宋体" w:hAnsi="宋体" w:eastAsia="宋体" w:cs="宋体"/>
          <w:spacing w:val="6"/>
          <w:sz w:val="22"/>
          <w:szCs w:val="22"/>
        </w:rPr>
        <w:t>。</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2、乙方所提供PC预制构件应符合工程设计规范及图纸要求。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3、PC构件的预留孔洞尺寸、预埋管线及底盒等均符合设计图纸的要求。</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4、保修期限；执行国家相关规定。</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四</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随车的必备品、配件、工具等</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乙方必须向甲方提供产品岀厂合格证、</w:t>
      </w:r>
      <w:r>
        <w:rPr>
          <w:rFonts w:ascii="宋体" w:hAnsi="宋体" w:eastAsia="宋体" w:cs="宋体"/>
          <w:spacing w:val="6"/>
          <w:sz w:val="22"/>
          <w:szCs w:val="22"/>
        </w:rPr>
        <w:t>交货单据、说明书</w:t>
      </w:r>
      <w:r>
        <w:rPr>
          <w:rFonts w:hint="eastAsia" w:ascii="宋体" w:hAnsi="宋体" w:eastAsia="宋体" w:cs="宋体"/>
          <w:spacing w:val="6"/>
          <w:sz w:val="22"/>
          <w:szCs w:val="22"/>
          <w:lang w:eastAsia="zh-CN"/>
        </w:rPr>
        <w:t>、</w:t>
      </w:r>
      <w:r>
        <w:rPr>
          <w:rFonts w:ascii="宋体" w:hAnsi="宋体" w:eastAsia="宋体" w:cs="宋体"/>
          <w:spacing w:val="6"/>
          <w:sz w:val="22"/>
          <w:szCs w:val="22"/>
        </w:rPr>
        <w:t>技术交底</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相关原材料、试块检（试）验报告等资料，所提供的检（试）验报告需为乙方所在地有资质的单位出具，并提供相关资料原件。资料均随车带至现场，严禁后补资料。上述材料未随车带至现场的，甲方有权拒绝签收，因此供货延误所造成的损失由乙方承担。乙方无条件做相关检测试验，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构件产品相关的所有装配式工艺性检测由乙方负责。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五</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合同价款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1、该合同为固定综合单价合同</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包括材料费(含辅材)、机械费、人工费、装运费、</w:t>
      </w:r>
      <w:r>
        <w:rPr>
          <w:rFonts w:hint="eastAsia" w:ascii="宋体" w:hAnsi="宋体" w:eastAsia="宋体" w:cs="宋体"/>
          <w:spacing w:val="6"/>
          <w:sz w:val="22"/>
          <w:szCs w:val="22"/>
          <w:highlight w:val="none"/>
          <w:lang w:eastAsia="zh-CN"/>
        </w:rPr>
        <w:t>采保费</w:t>
      </w:r>
      <w:r>
        <w:rPr>
          <w:rFonts w:ascii="宋体" w:hAnsi="宋体" w:eastAsia="宋体" w:cs="宋体"/>
          <w:spacing w:val="6"/>
          <w:sz w:val="22"/>
          <w:szCs w:val="22"/>
          <w:highlight w:val="none"/>
        </w:rPr>
        <w:t>、</w:t>
      </w:r>
      <w:r>
        <w:rPr>
          <w:rFonts w:hint="eastAsia" w:ascii="宋体" w:hAnsi="宋体" w:eastAsia="宋体" w:cs="宋体"/>
          <w:spacing w:val="6"/>
          <w:sz w:val="22"/>
          <w:szCs w:val="22"/>
          <w:highlight w:val="none"/>
          <w:lang w:eastAsia="zh-CN"/>
        </w:rPr>
        <w:t>二次深化图纸费、材料检测费、规费、</w:t>
      </w:r>
      <w:r>
        <w:rPr>
          <w:rFonts w:ascii="宋体" w:hAnsi="宋体" w:eastAsia="宋体" w:cs="宋体"/>
          <w:spacing w:val="6"/>
          <w:sz w:val="22"/>
          <w:szCs w:val="22"/>
          <w:highlight w:val="none"/>
        </w:rPr>
        <w:t>企业管理费</w:t>
      </w:r>
      <w:r>
        <w:rPr>
          <w:rFonts w:hint="eastAsia" w:ascii="宋体" w:hAnsi="宋体" w:eastAsia="宋体" w:cs="宋体"/>
          <w:spacing w:val="6"/>
          <w:sz w:val="22"/>
          <w:szCs w:val="22"/>
          <w:highlight w:val="none"/>
          <w:lang w:eastAsia="zh-CN"/>
        </w:rPr>
        <w:t>、装配式专家评审费（含评审资料制作费、专家评审费等）、</w:t>
      </w:r>
      <w:r>
        <w:rPr>
          <w:rFonts w:ascii="宋体" w:hAnsi="宋体" w:eastAsia="宋体" w:cs="宋体"/>
          <w:spacing w:val="6"/>
          <w:sz w:val="22"/>
          <w:szCs w:val="22"/>
          <w:highlight w:val="none"/>
        </w:rPr>
        <w:t>利润</w:t>
      </w:r>
      <w:r>
        <w:rPr>
          <w:rFonts w:hint="eastAsia" w:ascii="宋体" w:hAnsi="宋体" w:eastAsia="宋体" w:cs="宋体"/>
          <w:spacing w:val="6"/>
          <w:sz w:val="22"/>
          <w:szCs w:val="22"/>
          <w:highlight w:val="none"/>
          <w:lang w:eastAsia="zh-CN"/>
        </w:rPr>
        <w:t>和税金</w:t>
      </w:r>
      <w:r>
        <w:rPr>
          <w:rFonts w:ascii="宋体" w:hAnsi="宋体" w:eastAsia="宋体" w:cs="宋体"/>
          <w:spacing w:val="6"/>
          <w:sz w:val="22"/>
          <w:szCs w:val="22"/>
          <w:highlight w:val="none"/>
        </w:rPr>
        <w:t>等</w:t>
      </w:r>
      <w:r>
        <w:rPr>
          <w:rFonts w:hint="eastAsia" w:ascii="宋体" w:hAnsi="宋体" w:eastAsia="宋体" w:cs="宋体"/>
          <w:spacing w:val="6"/>
          <w:sz w:val="22"/>
          <w:szCs w:val="22"/>
          <w:highlight w:val="none"/>
          <w:lang w:eastAsia="zh-CN"/>
        </w:rPr>
        <w:t>所有</w:t>
      </w:r>
      <w:r>
        <w:rPr>
          <w:rFonts w:ascii="宋体" w:hAnsi="宋体" w:eastAsia="宋体" w:cs="宋体"/>
          <w:spacing w:val="6"/>
          <w:sz w:val="22"/>
          <w:szCs w:val="22"/>
          <w:highlight w:val="none"/>
        </w:rPr>
        <w:t>费用。但不限于产品出厂前的模具设计、模具制作、生产、存储、包装、保险费、出厂检测、检验费、构件运输费</w:t>
      </w:r>
      <w:r>
        <w:rPr>
          <w:rFonts w:hint="eastAsia" w:ascii="宋体" w:hAnsi="宋体" w:eastAsia="宋体" w:cs="宋体"/>
          <w:spacing w:val="6"/>
          <w:sz w:val="22"/>
          <w:szCs w:val="22"/>
          <w:highlight w:val="none"/>
          <w:lang w:eastAsia="zh-CN"/>
        </w:rPr>
        <w:t>、装卸费</w:t>
      </w:r>
      <w:r>
        <w:rPr>
          <w:rFonts w:ascii="宋体" w:hAnsi="宋体" w:eastAsia="宋体" w:cs="宋体"/>
          <w:spacing w:val="6"/>
          <w:sz w:val="22"/>
          <w:szCs w:val="22"/>
          <w:highlight w:val="none"/>
        </w:rPr>
        <w:t>、管理费、利润、税金及其他运抵至甲方指定交货地点的一切费用。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2、构件工程量计算方法：按设计图示尺寸以体积计算；即不含保温层、块料、石材等装饰面层的体积、不扣除混凝土构件内的钢筋、预埋铁件、配管、套管、线盒、</w:t>
      </w:r>
      <w:r>
        <w:rPr>
          <w:rFonts w:ascii="宋体" w:hAnsi="宋体" w:eastAsia="宋体" w:cs="宋体"/>
          <w:spacing w:val="6"/>
          <w:sz w:val="22"/>
          <w:szCs w:val="22"/>
          <w:highlight w:val="none"/>
          <w:lang w:val="en-US" w:eastAsia="en-US"/>
        </w:rPr>
        <w:t>PC</w:t>
      </w:r>
      <w:r>
        <w:rPr>
          <w:rFonts w:ascii="宋体" w:hAnsi="宋体" w:eastAsia="宋体" w:cs="宋体"/>
          <w:spacing w:val="6"/>
          <w:sz w:val="22"/>
          <w:szCs w:val="22"/>
          <w:highlight w:val="none"/>
        </w:rPr>
        <w:t>成品构件内夹芯保温层、单个面积在</w:t>
      </w:r>
      <w:r>
        <w:rPr>
          <w:rFonts w:ascii="宋体" w:hAnsi="宋体" w:eastAsia="宋体" w:cs="宋体"/>
          <w:spacing w:val="6"/>
          <w:sz w:val="22"/>
          <w:szCs w:val="22"/>
          <w:highlight w:val="none"/>
          <w:lang w:val="en-US" w:eastAsia="en-US"/>
        </w:rPr>
        <w:t>0.</w:t>
      </w: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以内的孔洞或线箱所占体积等；需扣除门窗</w:t>
      </w:r>
      <w:r>
        <w:rPr>
          <w:rFonts w:hint="eastAsia" w:ascii="宋体" w:hAnsi="宋体" w:eastAsia="宋体" w:cs="宋体"/>
          <w:spacing w:val="6"/>
          <w:sz w:val="22"/>
          <w:szCs w:val="22"/>
          <w:highlight w:val="none"/>
          <w:lang w:eastAsia="zh-CN"/>
        </w:rPr>
        <w:t>洞口、</w:t>
      </w:r>
      <w:r>
        <w:rPr>
          <w:rFonts w:ascii="宋体" w:hAnsi="宋体" w:eastAsia="宋体" w:cs="宋体"/>
          <w:spacing w:val="6"/>
          <w:sz w:val="22"/>
          <w:szCs w:val="22"/>
          <w:highlight w:val="none"/>
        </w:rPr>
        <w:t>空心板的空洞体积及单个洞口面积</w:t>
      </w:r>
      <w:r>
        <w:rPr>
          <w:rFonts w:ascii="宋体" w:hAnsi="宋体" w:eastAsia="宋体" w:cs="宋体"/>
          <w:spacing w:val="6"/>
          <w:sz w:val="22"/>
          <w:szCs w:val="22"/>
          <w:highlight w:val="none"/>
          <w:lang w:val="en-US" w:eastAsia="en-US"/>
        </w:rPr>
        <w:t>0.3</w:t>
      </w:r>
      <w:r>
        <w:rPr>
          <w:rFonts w:hint="eastAsia" w:ascii="宋体" w:hAnsi="宋体" w:eastAsia="宋体" w:cs="宋体"/>
          <w:spacing w:val="6"/>
          <w:sz w:val="22"/>
          <w:szCs w:val="22"/>
          <w:highlight w:val="none"/>
          <w:lang w:val="en-US" w:eastAsia="zh-CN"/>
        </w:rPr>
        <w:t>㎡</w:t>
      </w:r>
      <w:r>
        <w:rPr>
          <w:rFonts w:ascii="宋体" w:hAnsi="宋体" w:eastAsia="宋体" w:cs="宋体"/>
          <w:spacing w:val="6"/>
          <w:sz w:val="22"/>
          <w:szCs w:val="22"/>
          <w:highlight w:val="none"/>
        </w:rPr>
        <w:t>的孔洞所占体积；损耗率含在报价内。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3、合同单价：</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3.1</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本合同采用固定综合单价原则供货，在本合同执行期间，价格不予调整，因甲方原因致设计图纸变更、规格型号变更、技术要求变更等因素导致乙方成本增加的情况除外；</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b/>
          <w:bCs/>
          <w:color w:val="auto"/>
          <w:spacing w:val="6"/>
          <w:sz w:val="22"/>
          <w:szCs w:val="22"/>
          <w:highlight w:val="none"/>
          <w:lang w:eastAsia="zh-CN"/>
        </w:rPr>
      </w:pPr>
      <w:r>
        <w:rPr>
          <w:rFonts w:ascii="宋体" w:hAnsi="宋体" w:eastAsia="宋体" w:cs="宋体"/>
          <w:color w:val="auto"/>
          <w:spacing w:val="6"/>
          <w:sz w:val="22"/>
          <w:szCs w:val="22"/>
          <w:highlight w:val="none"/>
        </w:rPr>
        <w:t>3.</w:t>
      </w:r>
      <w:r>
        <w:rPr>
          <w:rFonts w:hint="eastAsia" w:ascii="宋体" w:hAnsi="宋体" w:eastAsia="宋体" w:cs="宋体"/>
          <w:color w:val="auto"/>
          <w:spacing w:val="6"/>
          <w:sz w:val="22"/>
          <w:szCs w:val="22"/>
          <w:highlight w:val="none"/>
          <w:lang w:val="en-US" w:eastAsia="zh-CN"/>
        </w:rPr>
        <w:t>2</w:t>
      </w:r>
      <w:r>
        <w:rPr>
          <w:rFonts w:ascii="宋体" w:hAnsi="宋体" w:eastAsia="宋体" w:cs="宋体"/>
          <w:b/>
          <w:bCs/>
          <w:color w:val="auto"/>
          <w:spacing w:val="6"/>
          <w:sz w:val="22"/>
          <w:szCs w:val="22"/>
          <w:highlight w:val="none"/>
        </w:rPr>
        <w:t>当主要材料(混凝土、钢筋)市场价格波动超过本合同约定的波动范围的，即混凝土、钢筋的市场价格变动幅度超过±10%</w:t>
      </w:r>
      <w:r>
        <w:rPr>
          <w:rFonts w:hint="eastAsia" w:ascii="宋体" w:hAnsi="宋体" w:eastAsia="宋体" w:cs="宋体"/>
          <w:b/>
          <w:bCs/>
          <w:color w:val="auto"/>
          <w:spacing w:val="6"/>
          <w:sz w:val="22"/>
          <w:szCs w:val="22"/>
          <w:highlight w:val="none"/>
          <w:lang w:eastAsia="zh-CN"/>
        </w:rPr>
        <w:t>，</w:t>
      </w:r>
      <w:r>
        <w:rPr>
          <w:rFonts w:ascii="宋体" w:hAnsi="宋体" w:eastAsia="宋体" w:cs="宋体"/>
          <w:b/>
          <w:bCs/>
          <w:color w:val="auto"/>
          <w:spacing w:val="6"/>
          <w:sz w:val="22"/>
          <w:szCs w:val="22"/>
          <w:highlight w:val="none"/>
        </w:rPr>
        <w:t>材料价格变化引起的调价机制：从首次供货到场之日起，到供货结束，1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个月内主要材料（混凝土、钢筋）市场价格变化不调差。若供货周期超过1</w:t>
      </w:r>
      <w:r>
        <w:rPr>
          <w:rFonts w:hint="eastAsia" w:ascii="宋体" w:hAnsi="宋体" w:eastAsia="宋体" w:cs="宋体"/>
          <w:b/>
          <w:bCs/>
          <w:color w:val="auto"/>
          <w:spacing w:val="6"/>
          <w:sz w:val="22"/>
          <w:szCs w:val="22"/>
          <w:highlight w:val="none"/>
          <w:lang w:val="en-US" w:eastAsia="zh-CN"/>
        </w:rPr>
        <w:t>2</w:t>
      </w:r>
      <w:r>
        <w:rPr>
          <w:rFonts w:ascii="宋体" w:hAnsi="宋体" w:eastAsia="宋体" w:cs="宋体"/>
          <w:b/>
          <w:bCs/>
          <w:color w:val="auto"/>
          <w:spacing w:val="6"/>
          <w:sz w:val="22"/>
          <w:szCs w:val="22"/>
          <w:highlight w:val="none"/>
        </w:rPr>
        <w:t>个月，则超过的月份材料价格依据签约时</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市造价站发布的信息价为基数，以原材料生产、采购期内</w:t>
      </w:r>
      <w:r>
        <w:rPr>
          <w:rFonts w:hint="eastAsia" w:ascii="宋体" w:hAnsi="宋体" w:eastAsia="宋体" w:cs="宋体"/>
          <w:b/>
          <w:bCs/>
          <w:color w:val="auto"/>
          <w:spacing w:val="6"/>
          <w:sz w:val="22"/>
          <w:szCs w:val="22"/>
          <w:highlight w:val="none"/>
          <w:lang w:eastAsia="zh-CN"/>
        </w:rPr>
        <w:t>阜阳</w:t>
      </w:r>
      <w:r>
        <w:rPr>
          <w:rFonts w:ascii="宋体" w:hAnsi="宋体" w:eastAsia="宋体" w:cs="宋体"/>
          <w:b/>
          <w:bCs/>
          <w:color w:val="auto"/>
          <w:spacing w:val="6"/>
          <w:sz w:val="22"/>
          <w:szCs w:val="22"/>
          <w:highlight w:val="none"/>
        </w:rPr>
        <w:t>市造价站发布的信息价平均值为参照，主要材料（钢筋、混凝土）价格变</w:t>
      </w:r>
      <w:r>
        <w:rPr>
          <w:rFonts w:ascii="宋体" w:hAnsi="宋体" w:eastAsia="宋体" w:cs="宋体"/>
          <w:b/>
          <w:bCs/>
          <w:color w:val="auto"/>
          <w:spacing w:val="6"/>
          <w:sz w:val="22"/>
          <w:szCs w:val="22"/>
          <w:highlight w:val="none"/>
          <w:lang w:val="zh-CN" w:eastAsia="zh-CN"/>
        </w:rPr>
        <w:t>化在土</w:t>
      </w:r>
      <w:r>
        <w:rPr>
          <w:rFonts w:hint="eastAsia" w:ascii="宋体" w:hAnsi="宋体" w:eastAsia="宋体" w:cs="宋体"/>
          <w:b/>
          <w:bCs/>
          <w:color w:val="auto"/>
          <w:spacing w:val="6"/>
          <w:sz w:val="22"/>
          <w:szCs w:val="22"/>
          <w:highlight w:val="none"/>
          <w:lang w:val="en-US" w:eastAsia="zh-CN"/>
        </w:rPr>
        <w:t>10</w:t>
      </w:r>
      <w:r>
        <w:rPr>
          <w:rFonts w:ascii="宋体" w:hAnsi="宋体" w:eastAsia="宋体" w:cs="宋体"/>
          <w:b/>
          <w:bCs/>
          <w:color w:val="auto"/>
          <w:spacing w:val="6"/>
          <w:sz w:val="22"/>
          <w:szCs w:val="22"/>
          <w:highlight w:val="none"/>
        </w:rPr>
        <w:t>%</w:t>
      </w:r>
      <w:r>
        <w:rPr>
          <w:rFonts w:hint="eastAsia" w:ascii="宋体" w:hAnsi="宋体" w:eastAsia="宋体" w:cs="宋体"/>
          <w:b/>
          <w:bCs/>
          <w:color w:val="auto"/>
          <w:spacing w:val="6"/>
          <w:sz w:val="22"/>
          <w:szCs w:val="22"/>
          <w:highlight w:val="none"/>
          <w:lang w:eastAsia="zh-CN"/>
        </w:rPr>
        <w:t>以外</w:t>
      </w:r>
      <w:r>
        <w:rPr>
          <w:rFonts w:ascii="宋体" w:hAnsi="宋体" w:eastAsia="宋体" w:cs="宋体"/>
          <w:b/>
          <w:bCs/>
          <w:color w:val="auto"/>
          <w:spacing w:val="6"/>
          <w:sz w:val="22"/>
          <w:szCs w:val="22"/>
          <w:highlight w:val="none"/>
        </w:rPr>
        <w:t>部分</w:t>
      </w:r>
      <w:r>
        <w:rPr>
          <w:rFonts w:hint="eastAsia" w:ascii="宋体" w:hAnsi="宋体" w:eastAsia="宋体" w:cs="宋体"/>
          <w:b/>
          <w:bCs/>
          <w:color w:val="auto"/>
          <w:spacing w:val="6"/>
          <w:sz w:val="22"/>
          <w:szCs w:val="22"/>
          <w:highlight w:val="none"/>
          <w:lang w:eastAsia="zh-CN"/>
        </w:rPr>
        <w:t>予以</w:t>
      </w:r>
      <w:r>
        <w:rPr>
          <w:rFonts w:ascii="宋体" w:hAnsi="宋体" w:eastAsia="宋体" w:cs="宋体"/>
          <w:b/>
          <w:bCs/>
          <w:color w:val="auto"/>
          <w:spacing w:val="6"/>
          <w:sz w:val="22"/>
          <w:szCs w:val="22"/>
          <w:highlight w:val="none"/>
        </w:rPr>
        <w:t>调差（因乙方原因导致供货周期延长的除外）</w:t>
      </w:r>
      <w:r>
        <w:rPr>
          <w:rFonts w:hint="eastAsia" w:ascii="宋体" w:hAnsi="宋体" w:eastAsia="宋体" w:cs="宋体"/>
          <w:b/>
          <w:bCs/>
          <w:color w:val="auto"/>
          <w:spacing w:val="6"/>
          <w:sz w:val="22"/>
          <w:szCs w:val="2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highlight w:val="none"/>
        </w:rPr>
      </w:pPr>
      <w:r>
        <w:rPr>
          <w:rFonts w:ascii="宋体" w:hAnsi="宋体" w:eastAsia="宋体" w:cs="宋体"/>
          <w:spacing w:val="6"/>
          <w:sz w:val="22"/>
          <w:szCs w:val="22"/>
          <w:highlight w:val="none"/>
        </w:rPr>
        <w:t>3.</w:t>
      </w:r>
      <w:r>
        <w:rPr>
          <w:rFonts w:hint="eastAsia" w:ascii="宋体" w:hAnsi="宋体" w:eastAsia="宋体" w:cs="宋体"/>
          <w:spacing w:val="6"/>
          <w:sz w:val="22"/>
          <w:szCs w:val="22"/>
          <w:highlight w:val="none"/>
          <w:lang w:val="en-US" w:eastAsia="zh-CN"/>
        </w:rPr>
        <w:t>3</w:t>
      </w:r>
      <w:r>
        <w:rPr>
          <w:rFonts w:ascii="宋体" w:hAnsi="宋体" w:eastAsia="宋体" w:cs="宋体"/>
          <w:spacing w:val="6"/>
          <w:sz w:val="22"/>
          <w:szCs w:val="22"/>
          <w:highlight w:val="none"/>
        </w:rPr>
        <w:t xml:space="preserve"> 如甲乙双方协商调整单价的，则每次价格调整时双方确定专人以书面形式进行确认，每月最终结算价款以甲乙双方达成合意后该月调整确认的单价乘以当月交货实际构件立米的计算结果为准。</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highlight w:val="none"/>
        </w:rPr>
      </w:pPr>
      <w:r>
        <w:rPr>
          <w:rFonts w:ascii="宋体" w:hAnsi="宋体" w:eastAsia="宋体" w:cs="宋体"/>
          <w:b/>
          <w:bCs/>
          <w:spacing w:val="6"/>
          <w:sz w:val="24"/>
          <w:szCs w:val="24"/>
          <w:highlight w:val="none"/>
        </w:rPr>
        <w:t>六</w:t>
      </w:r>
      <w:r>
        <w:rPr>
          <w:rFonts w:hint="eastAsia" w:ascii="宋体" w:hAnsi="宋体" w:eastAsia="宋体" w:cs="宋体"/>
          <w:b/>
          <w:bCs/>
          <w:spacing w:val="6"/>
          <w:sz w:val="24"/>
          <w:szCs w:val="24"/>
          <w:highlight w:val="none"/>
          <w:lang w:eastAsia="zh-CN"/>
        </w:rPr>
        <w:t>、</w:t>
      </w:r>
      <w:r>
        <w:rPr>
          <w:rFonts w:ascii="宋体" w:hAnsi="宋体" w:eastAsia="宋体" w:cs="宋体"/>
          <w:b/>
          <w:bCs/>
          <w:spacing w:val="6"/>
          <w:sz w:val="24"/>
          <w:szCs w:val="24"/>
          <w:highlight w:val="none"/>
        </w:rPr>
        <w:t>支付及结算</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1、支付方式：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1.1预付款：经双方协商一致</w:t>
      </w:r>
      <w:r>
        <w:rPr>
          <w:rFonts w:hint="eastAsia" w:ascii="宋体" w:hAnsi="宋体" w:eastAsia="宋体" w:cs="宋体"/>
          <w:spacing w:val="6"/>
          <w:sz w:val="22"/>
          <w:szCs w:val="22"/>
          <w:highlight w:val="none"/>
          <w:lang w:eastAsia="zh-CN"/>
        </w:rPr>
        <w:t>，</w:t>
      </w:r>
      <w:r>
        <w:rPr>
          <w:rFonts w:ascii="宋体" w:hAnsi="宋体" w:eastAsia="宋体" w:cs="宋体"/>
          <w:spacing w:val="6"/>
          <w:sz w:val="22"/>
          <w:szCs w:val="22"/>
          <w:highlight w:val="none"/>
        </w:rPr>
        <w:t>甲方付合同暂定总价款的</w:t>
      </w:r>
      <w:r>
        <w:rPr>
          <w:rFonts w:hint="eastAsia" w:ascii="宋体" w:hAnsi="宋体" w:eastAsia="宋体" w:cs="宋体"/>
          <w:spacing w:val="6"/>
          <w:sz w:val="22"/>
          <w:szCs w:val="22"/>
          <w:highlight w:val="none"/>
          <w:lang w:val="en-US" w:eastAsia="zh-CN"/>
        </w:rPr>
        <w:t>1</w:t>
      </w:r>
      <w:r>
        <w:rPr>
          <w:rFonts w:ascii="宋体" w:hAnsi="宋体" w:eastAsia="宋体" w:cs="宋体"/>
          <w:spacing w:val="6"/>
          <w:sz w:val="22"/>
          <w:szCs w:val="22"/>
          <w:highlight w:val="none"/>
        </w:rPr>
        <w:t>0%,即</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 xml:space="preserve">   </w:t>
      </w:r>
      <w:r>
        <w:rPr>
          <w:rFonts w:ascii="宋体" w:hAnsi="宋体" w:eastAsia="宋体" w:cs="宋体"/>
          <w:spacing w:val="6"/>
          <w:sz w:val="22"/>
          <w:szCs w:val="22"/>
          <w:highlight w:val="none"/>
        </w:rPr>
        <w:t>元(大写：</w:t>
      </w:r>
      <w:r>
        <w:rPr>
          <w:rFonts w:ascii="宋体" w:hAnsi="宋体" w:eastAsia="宋体" w:cs="宋体"/>
          <w:spacing w:val="6"/>
          <w:sz w:val="22"/>
          <w:szCs w:val="22"/>
          <w:highlight w:val="none"/>
          <w:u w:val="single"/>
        </w:rPr>
        <w:t xml:space="preserve">  </w:t>
      </w:r>
      <w:r>
        <w:rPr>
          <w:rFonts w:hint="eastAsia" w:ascii="宋体" w:hAnsi="宋体" w:eastAsia="宋体" w:cs="宋体"/>
          <w:spacing w:val="6"/>
          <w:sz w:val="22"/>
          <w:szCs w:val="22"/>
          <w:highlight w:val="none"/>
          <w:u w:val="single"/>
          <w:lang w:val="en-US" w:eastAsia="zh-CN"/>
        </w:rPr>
        <w:t xml:space="preserve">           </w:t>
      </w:r>
      <w:r>
        <w:rPr>
          <w:rFonts w:ascii="宋体" w:hAnsi="宋体" w:eastAsia="宋体" w:cs="宋体"/>
          <w:spacing w:val="6"/>
          <w:sz w:val="22"/>
          <w:szCs w:val="22"/>
          <w:highlight w:val="none"/>
          <w:u w:val="single"/>
        </w:rPr>
        <w:t>整</w:t>
      </w:r>
      <w:r>
        <w:rPr>
          <w:rFonts w:ascii="宋体" w:hAnsi="宋体" w:eastAsia="宋体" w:cs="宋体"/>
          <w:spacing w:val="6"/>
          <w:sz w:val="22"/>
          <w:szCs w:val="22"/>
          <w:highlight w:val="none"/>
        </w:rPr>
        <w:t>)作为预付款，在乙方工厂启动本工程开模前7天支付，乙方开具预付款等金额的有效发票，甲方以银行转账的方式支付至乙方指定银行账户</w:t>
      </w:r>
      <w:r>
        <w:rPr>
          <w:rFonts w:hint="eastAsia" w:ascii="宋体" w:hAnsi="宋体" w:eastAsia="宋体" w:cs="宋体"/>
          <w:spacing w:val="6"/>
          <w:sz w:val="22"/>
          <w:szCs w:val="22"/>
          <w:highlight w:val="none"/>
          <w:lang w:eastAsia="zh-CN"/>
        </w:rPr>
        <w:t>，达到起扣点后预付款分批次扣除</w:t>
      </w:r>
      <w:r>
        <w:rPr>
          <w:rFonts w:ascii="宋体" w:hAnsi="宋体" w:eastAsia="宋体" w:cs="宋体"/>
          <w:spacing w:val="6"/>
          <w:sz w:val="22"/>
          <w:szCs w:val="22"/>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1.2</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中间结算：乙方于每月15日将上月15日至本月14日双方签字确认的送货单与甲方进行对帐结算，结算审核时间不应超过5日，双方共同确认结算价款后，甲方于次月15日前向乙方支付该月结算价款金额的70%。</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1.3供货完成：单栋建筑最后一批构件到场安装完成后，乙方向甲方递交供货结算书，甲方在收到供货结算书15日内完成审定并与乙方办理完结结算手续。在结算手续办理完毕后15日内，甲方向乙方付至该栋建筑所有中间结算金额总和的97%。</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highlight w:val="none"/>
        </w:rPr>
      </w:pPr>
      <w:r>
        <w:rPr>
          <w:rFonts w:ascii="宋体" w:hAnsi="宋体" w:eastAsia="宋体" w:cs="宋体"/>
          <w:spacing w:val="6"/>
          <w:sz w:val="22"/>
          <w:szCs w:val="22"/>
          <w:highlight w:val="none"/>
        </w:rPr>
        <w:t>1.4</w:t>
      </w:r>
      <w:r>
        <w:rPr>
          <w:rFonts w:hint="eastAsia" w:ascii="宋体" w:hAnsi="宋体" w:eastAsia="宋体" w:cs="宋体"/>
          <w:spacing w:val="6"/>
          <w:sz w:val="22"/>
          <w:szCs w:val="22"/>
          <w:highlight w:val="none"/>
          <w:lang w:val="en-US" w:eastAsia="zh-CN"/>
        </w:rPr>
        <w:t xml:space="preserve"> </w:t>
      </w:r>
      <w:r>
        <w:rPr>
          <w:rFonts w:ascii="宋体" w:hAnsi="宋体" w:eastAsia="宋体" w:cs="宋体"/>
          <w:spacing w:val="6"/>
          <w:sz w:val="22"/>
          <w:szCs w:val="22"/>
          <w:highlight w:val="none"/>
        </w:rPr>
        <w:t>质保金：</w:t>
      </w:r>
      <w:r>
        <w:rPr>
          <w:rFonts w:ascii="宋体" w:hAnsi="宋体" w:eastAsia="宋体" w:cs="宋体"/>
          <w:spacing w:val="6"/>
          <w:sz w:val="22"/>
          <w:szCs w:val="22"/>
          <w:highlight w:val="none"/>
          <w:u w:val="none"/>
        </w:rPr>
        <w:t>质保金</w:t>
      </w:r>
      <w:r>
        <w:rPr>
          <w:rFonts w:ascii="宋体" w:hAnsi="宋体" w:eastAsia="宋体" w:cs="宋体"/>
          <w:spacing w:val="6"/>
          <w:sz w:val="22"/>
          <w:szCs w:val="22"/>
          <w:highlight w:val="none"/>
          <w:u w:val="single"/>
        </w:rPr>
        <w:t>3%</w:t>
      </w:r>
      <w:r>
        <w:rPr>
          <w:rFonts w:ascii="宋体" w:hAnsi="宋体" w:eastAsia="宋体" w:cs="宋体"/>
          <w:spacing w:val="6"/>
          <w:sz w:val="22"/>
          <w:szCs w:val="22"/>
          <w:highlight w:val="none"/>
        </w:rPr>
        <w:t>,待本合同清单范围内楼栋主体</w:t>
      </w:r>
      <w:r>
        <w:rPr>
          <w:rFonts w:hint="eastAsia" w:ascii="宋体" w:hAnsi="宋体" w:eastAsia="宋体" w:cs="宋体"/>
          <w:spacing w:val="6"/>
          <w:sz w:val="22"/>
          <w:szCs w:val="22"/>
          <w:highlight w:val="none"/>
          <w:lang w:eastAsia="zh-CN"/>
        </w:rPr>
        <w:t>结构验收合格</w:t>
      </w:r>
      <w:r>
        <w:rPr>
          <w:rFonts w:ascii="宋体" w:hAnsi="宋体" w:eastAsia="宋体" w:cs="宋体"/>
          <w:spacing w:val="6"/>
          <w:sz w:val="22"/>
          <w:szCs w:val="22"/>
          <w:highlight w:val="none"/>
        </w:rPr>
        <w:t>后3个月内，甲方向乙方付清余款。</w:t>
      </w:r>
    </w:p>
    <w:p>
      <w:pPr>
        <w:pStyle w:val="2"/>
        <w:ind w:left="0" w:leftChars="0" w:firstLine="696" w:firstLineChars="300"/>
        <w:rPr>
          <w:rFonts w:ascii="宋体" w:hAnsi="宋体" w:eastAsia="宋体" w:cs="宋体"/>
          <w:snapToGrid w:val="0"/>
          <w:color w:val="000000"/>
          <w:spacing w:val="6"/>
          <w:kern w:val="0"/>
          <w:sz w:val="22"/>
          <w:szCs w:val="22"/>
          <w:highlight w:val="none"/>
        </w:rPr>
      </w:pPr>
      <w:r>
        <w:rPr>
          <w:rFonts w:hint="eastAsia" w:ascii="宋体" w:hAnsi="宋体" w:eastAsia="宋体" w:cs="宋体"/>
          <w:snapToGrid w:val="0"/>
          <w:color w:val="000000"/>
          <w:spacing w:val="6"/>
          <w:kern w:val="0"/>
          <w:sz w:val="22"/>
          <w:szCs w:val="22"/>
          <w:highlight w:val="none"/>
          <w:lang w:val="en-US" w:eastAsia="zh-CN"/>
        </w:rPr>
        <w:t>1.5</w:t>
      </w:r>
      <w:r>
        <w:rPr>
          <w:rFonts w:ascii="宋体" w:hAnsi="宋体" w:eastAsia="宋体" w:cs="宋体"/>
          <w:snapToGrid w:val="0"/>
          <w:color w:val="000000"/>
          <w:spacing w:val="6"/>
          <w:kern w:val="0"/>
          <w:sz w:val="22"/>
          <w:szCs w:val="22"/>
          <w:highlight w:val="none"/>
          <w:lang w:val="en-US" w:eastAsia="en-US"/>
        </w:rPr>
        <w:t xml:space="preserve"> </w:t>
      </w:r>
      <w:r>
        <w:rPr>
          <w:rFonts w:ascii="宋体" w:hAnsi="宋体" w:eastAsia="宋体" w:cs="宋体"/>
          <w:snapToGrid w:val="0"/>
          <w:color w:val="000000"/>
          <w:spacing w:val="6"/>
          <w:kern w:val="0"/>
          <w:sz w:val="22"/>
          <w:szCs w:val="22"/>
          <w:highlight w:val="none"/>
        </w:rPr>
        <w:t>开模令：深化设计经原设计单位确认且供货前30天下发开模令。</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highlight w:val="none"/>
        </w:rPr>
        <w:t>2、甲方支付的所有货款均以银行转账方式汇入以下指定银行和帐号，不得以现金的方式直接向乙方(包括项目管理人员等)工作人员支付，否则乙方不予认可，由</w:t>
      </w:r>
      <w:r>
        <w:rPr>
          <w:rFonts w:ascii="宋体" w:hAnsi="宋体" w:eastAsia="宋体" w:cs="宋体"/>
          <w:spacing w:val="6"/>
          <w:sz w:val="22"/>
          <w:szCs w:val="22"/>
        </w:rPr>
        <w:t>此产生的风险由甲方自行承担。乙方指定收款银行账户信息如下：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户   名：</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账   号：</w:t>
      </w:r>
      <w:r>
        <w:rPr>
          <w:rFonts w:hint="eastAsia" w:ascii="宋体" w:hAnsi="宋体" w:eastAsia="宋体" w:cs="宋体"/>
          <w:spacing w:val="6"/>
          <w:sz w:val="22"/>
          <w:szCs w:val="22"/>
          <w:lang w:val="en-US" w:eastAsia="zh-CN"/>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15"/>
          <w:szCs w:val="15"/>
          <w:u w:val="single"/>
          <w:lang w:val="en-US" w:eastAsia="zh-CN"/>
        </w:rPr>
      </w:pPr>
      <w:r>
        <w:rPr>
          <w:rFonts w:ascii="宋体" w:hAnsi="宋体" w:eastAsia="宋体" w:cs="宋体"/>
          <w:spacing w:val="6"/>
          <w:sz w:val="22"/>
          <w:szCs w:val="22"/>
        </w:rPr>
        <w:t>地  址</w:t>
      </w:r>
      <w:r>
        <w:rPr>
          <w:rFonts w:ascii="宋体" w:hAnsi="宋体" w:eastAsia="宋体" w:cs="宋体"/>
          <w:spacing w:val="6"/>
          <w:sz w:val="15"/>
          <w:szCs w:val="15"/>
        </w:rPr>
        <w:t>：</w:t>
      </w:r>
      <w:r>
        <w:rPr>
          <w:rFonts w:hint="eastAsia" w:ascii="宋体" w:hAnsi="宋体" w:eastAsia="宋体" w:cs="宋体"/>
          <w:spacing w:val="6"/>
          <w:sz w:val="15"/>
          <w:szCs w:val="15"/>
          <w:lang w:val="en-US" w:eastAsia="zh-CN"/>
        </w:rPr>
        <w:t xml:space="preserve"> </w:t>
      </w:r>
      <w:r>
        <w:rPr>
          <w:rFonts w:hint="eastAsia" w:ascii="宋体" w:hAnsi="宋体" w:eastAsia="宋体" w:cs="宋体"/>
          <w:spacing w:val="6"/>
          <w:sz w:val="15"/>
          <w:szCs w:val="15"/>
          <w:u w:val="single" w:color="auto"/>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3、如乙方需变更收款账户，应在甲方付款前向甲方出具书面变更账户通知书。</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七</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 xml:space="preserve"> </w:t>
      </w:r>
      <w:r>
        <w:rPr>
          <w:rFonts w:ascii="宋体" w:hAnsi="宋体" w:eastAsia="宋体" w:cs="宋体"/>
          <w:b/>
          <w:bCs/>
          <w:spacing w:val="6"/>
          <w:sz w:val="24"/>
          <w:szCs w:val="24"/>
        </w:rPr>
        <w:t>供货时间、地点、运输方式</w:t>
      </w:r>
    </w:p>
    <w:p>
      <w:pPr>
        <w:pStyle w:val="2"/>
        <w:rPr>
          <w:rFonts w:hint="eastAsia" w:eastAsia="宋体"/>
          <w:b/>
          <w:bCs/>
          <w:sz w:val="21"/>
          <w:szCs w:val="21"/>
          <w:lang w:val="en-US" w:eastAsia="zh-CN"/>
        </w:rPr>
      </w:pPr>
      <w:r>
        <w:rPr>
          <w:rFonts w:hint="eastAsia" w:eastAsia="宋体"/>
          <w:b/>
          <w:bCs/>
          <w:sz w:val="21"/>
          <w:szCs w:val="21"/>
          <w:lang w:val="en-US" w:eastAsia="zh-CN"/>
        </w:rPr>
        <w:t>1、</w:t>
      </w:r>
      <w:r>
        <w:rPr>
          <w:rFonts w:hint="eastAsia" w:ascii="宋体" w:hAnsi="宋体" w:eastAsia="宋体" w:cs="宋体"/>
          <w:b/>
          <w:bCs/>
          <w:spacing w:val="6"/>
          <w:sz w:val="21"/>
          <w:szCs w:val="21"/>
          <w:lang w:val="en-US" w:eastAsia="zh-CN"/>
        </w:rPr>
        <w:t xml:space="preserve"> </w:t>
      </w:r>
      <w:r>
        <w:rPr>
          <w:rFonts w:ascii="宋体" w:hAnsi="宋体" w:eastAsia="宋体" w:cs="宋体"/>
          <w:b/>
          <w:bCs/>
          <w:spacing w:val="6"/>
          <w:sz w:val="21"/>
          <w:szCs w:val="21"/>
        </w:rPr>
        <w:t>供货时间、地点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 xml:space="preserve">1 </w:t>
      </w:r>
      <w:r>
        <w:rPr>
          <w:rFonts w:ascii="宋体" w:hAnsi="宋体" w:eastAsia="宋体" w:cs="宋体"/>
          <w:spacing w:val="6"/>
          <w:sz w:val="22"/>
          <w:szCs w:val="22"/>
        </w:rPr>
        <w:t>合同签订生效后，乙方收到甲方预付款及双方签字盖章图纸后开始组织生产，</w:t>
      </w:r>
      <w:r>
        <w:rPr>
          <w:rFonts w:hint="eastAsia" w:ascii="宋体" w:hAnsi="宋体" w:eastAsia="宋体" w:cs="宋体"/>
          <w:spacing w:val="6"/>
          <w:sz w:val="22"/>
          <w:szCs w:val="22"/>
          <w:lang w:eastAsia="zh-CN"/>
        </w:rPr>
        <w:t>备料</w:t>
      </w:r>
      <w:r>
        <w:rPr>
          <w:rFonts w:ascii="宋体" w:hAnsi="宋体" w:eastAsia="宋体" w:cs="宋体"/>
          <w:spacing w:val="6"/>
          <w:sz w:val="22"/>
          <w:szCs w:val="22"/>
        </w:rPr>
        <w:t>准备</w:t>
      </w:r>
      <w:r>
        <w:rPr>
          <w:rFonts w:hint="eastAsia" w:ascii="宋体" w:hAnsi="宋体" w:eastAsia="宋体" w:cs="宋体"/>
          <w:spacing w:val="6"/>
          <w:sz w:val="22"/>
          <w:szCs w:val="22"/>
          <w:lang w:eastAsia="zh-CN"/>
        </w:rPr>
        <w:t>和</w:t>
      </w:r>
      <w:r>
        <w:rPr>
          <w:rFonts w:ascii="宋体" w:hAnsi="宋体" w:eastAsia="宋体" w:cs="宋体"/>
          <w:spacing w:val="6"/>
          <w:sz w:val="22"/>
          <w:szCs w:val="22"/>
        </w:rPr>
        <w:t>生产周期为</w:t>
      </w:r>
      <w:r>
        <w:rPr>
          <w:rFonts w:hint="eastAsia" w:ascii="宋体" w:hAnsi="宋体" w:eastAsia="宋体" w:cs="宋体"/>
          <w:spacing w:val="6"/>
          <w:sz w:val="22"/>
          <w:szCs w:val="22"/>
          <w:lang w:val="en-US" w:eastAsia="zh-CN"/>
        </w:rPr>
        <w:t>20</w:t>
      </w:r>
      <w:r>
        <w:rPr>
          <w:rFonts w:ascii="宋体" w:hAnsi="宋体" w:eastAsia="宋体" w:cs="宋体"/>
          <w:spacing w:val="6"/>
          <w:sz w:val="22"/>
          <w:szCs w:val="22"/>
        </w:rPr>
        <w:t>天，</w:t>
      </w: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0天内第一批构件必须到达甲方指定施工现场</w:t>
      </w:r>
      <w:r>
        <w:rPr>
          <w:rFonts w:hint="eastAsia" w:ascii="宋体" w:hAnsi="宋体" w:eastAsia="宋体" w:cs="宋体"/>
          <w:spacing w:val="6"/>
          <w:sz w:val="22"/>
          <w:szCs w:val="22"/>
          <w:lang w:eastAsia="zh-CN"/>
        </w:rPr>
        <w:t>，</w:t>
      </w:r>
      <w:r>
        <w:rPr>
          <w:rFonts w:hint="eastAsia" w:ascii="宋体" w:hAnsi="宋体" w:eastAsia="宋体" w:cs="宋体"/>
          <w:spacing w:val="6"/>
          <w:sz w:val="22"/>
          <w:szCs w:val="22"/>
          <w:lang w:val="en-US" w:eastAsia="zh-CN"/>
        </w:rPr>
        <w:t>同时于每月底前报送下月进度计划。</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0" w:after="0" w:line="360" w:lineRule="auto"/>
        <w:ind w:left="198" w:right="0" w:firstLine="522"/>
        <w:jc w:val="both"/>
        <w:textAlignment w:val="baseline"/>
        <w:rPr>
          <w:rFonts w:hint="eastAsia" w:ascii="宋体" w:hAnsi="宋体" w:eastAsia="宋体" w:cs="宋体"/>
          <w:snapToGrid w:val="0"/>
          <w:color w:val="000000"/>
          <w:spacing w:val="6"/>
          <w:kern w:val="0"/>
          <w:sz w:val="22"/>
          <w:szCs w:val="22"/>
          <w:lang w:val="en-US" w:eastAsia="zh-CN"/>
        </w:rPr>
      </w:pPr>
      <w:r>
        <w:rPr>
          <w:rFonts w:hint="eastAsia" w:ascii="宋体" w:hAnsi="宋体" w:eastAsia="宋体" w:cs="宋体"/>
          <w:snapToGrid w:val="0"/>
          <w:color w:val="000000"/>
          <w:spacing w:val="6"/>
          <w:kern w:val="0"/>
          <w:sz w:val="22"/>
          <w:szCs w:val="22"/>
          <w:lang w:val="en-US" w:eastAsia="zh-CN"/>
        </w:rPr>
        <w:t>1</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2 甲方根据施工进度排出供货详单及供货具体时间，具体供货日期及数量以甲方的供货计划为准。乙方应当严格按照甲方提供的供货计划及施工进度供货，确保不影响工程正常施工进度</w:t>
      </w:r>
      <w:r>
        <w:rPr>
          <w:rFonts w:hint="eastAsia" w:cs="宋体"/>
          <w:snapToGrid w:val="0"/>
          <w:color w:val="000000"/>
          <w:spacing w:val="6"/>
          <w:kern w:val="0"/>
          <w:sz w:val="22"/>
          <w:szCs w:val="22"/>
          <w:lang w:val="en-US" w:eastAsia="zh-CN"/>
        </w:rPr>
        <w:t>。</w:t>
      </w:r>
      <w:r>
        <w:rPr>
          <w:rFonts w:hint="eastAsia" w:ascii="宋体" w:hAnsi="宋体" w:eastAsia="宋体" w:cs="宋体"/>
          <w:snapToGrid w:val="0"/>
          <w:color w:val="000000"/>
          <w:spacing w:val="6"/>
          <w:kern w:val="0"/>
          <w:sz w:val="22"/>
          <w:szCs w:val="22"/>
          <w:lang w:val="en-US" w:eastAsia="zh-CN"/>
        </w:rPr>
        <w:t>甲方在构件供应前</w:t>
      </w:r>
      <w:r>
        <w:rPr>
          <w:rFonts w:hint="eastAsia" w:cs="宋体"/>
          <w:snapToGrid w:val="0"/>
          <w:color w:val="000000"/>
          <w:spacing w:val="6"/>
          <w:kern w:val="0"/>
          <w:sz w:val="22"/>
          <w:szCs w:val="22"/>
          <w:lang w:val="en-US" w:eastAsia="zh-CN"/>
        </w:rPr>
        <w:t>2</w:t>
      </w:r>
      <w:r>
        <w:rPr>
          <w:rFonts w:hint="eastAsia" w:ascii="宋体" w:hAnsi="宋体" w:eastAsia="宋体" w:cs="宋体"/>
          <w:snapToGrid w:val="0"/>
          <w:color w:val="000000"/>
          <w:spacing w:val="6"/>
          <w:kern w:val="0"/>
          <w:sz w:val="22"/>
          <w:szCs w:val="22"/>
          <w:lang w:val="en-US" w:eastAsia="zh-CN"/>
        </w:rPr>
        <w:t>0天提供给乙方项目施工进度计划，下发开模令，以便乙方组织模具设计、模具制作以及生产安排。</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1.3 因甲方迟延支付货款或延期提交供货计划等原因，交货时间相应顺延。供货计划可根据甲方现场施工进度进行相应调整。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napToGrid w:val="0"/>
          <w:color w:val="000000"/>
          <w:spacing w:val="6"/>
          <w:kern w:val="0"/>
          <w:sz w:val="22"/>
          <w:szCs w:val="22"/>
          <w:lang w:val="en-US" w:eastAsia="zh-CN" w:bidi="zh-TW"/>
        </w:rPr>
      </w:pPr>
      <w:r>
        <w:rPr>
          <w:rFonts w:hint="eastAsia" w:ascii="宋体" w:hAnsi="宋体" w:eastAsia="宋体" w:cs="宋体"/>
          <w:snapToGrid w:val="0"/>
          <w:color w:val="000000"/>
          <w:spacing w:val="6"/>
          <w:kern w:val="0"/>
          <w:sz w:val="22"/>
          <w:szCs w:val="22"/>
          <w:lang w:val="en-US" w:eastAsia="zh-CN" w:bidi="zh-TW"/>
        </w:rPr>
        <w:t>1.4 乙方按照甲方的进场计划进行供货，如甲方对进场计划进行修改，应提前10天书面通知乙方。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1.5 </w:t>
      </w:r>
      <w:r>
        <w:rPr>
          <w:rFonts w:ascii="宋体" w:hAnsi="宋体" w:eastAsia="宋体" w:cs="宋体"/>
          <w:spacing w:val="6"/>
          <w:sz w:val="22"/>
          <w:szCs w:val="22"/>
        </w:rPr>
        <w:t>现场条件允许情况下，甲方所需预制构件的每幢楼周边需提供不少于1层的备板区域，每层备板区域大小应满足每层所用</w:t>
      </w:r>
      <w:r>
        <w:rPr>
          <w:rFonts w:ascii="宋体" w:hAnsi="宋体" w:eastAsia="宋体" w:cs="宋体"/>
          <w:spacing w:val="6"/>
          <w:sz w:val="22"/>
          <w:szCs w:val="22"/>
          <w:lang w:val="en-US" w:eastAsia="en-US"/>
        </w:rPr>
        <w:t>PC</w:t>
      </w:r>
      <w:r>
        <w:rPr>
          <w:rFonts w:ascii="宋体" w:hAnsi="宋体" w:eastAsia="宋体" w:cs="宋体"/>
          <w:spacing w:val="6"/>
          <w:sz w:val="22"/>
          <w:szCs w:val="22"/>
        </w:rPr>
        <w:t>构件的堆放，乙方应提前与项目沟通进行备板，以满足现场安装需要。货到现场后，甲方</w:t>
      </w:r>
      <w:r>
        <w:rPr>
          <w:rFonts w:hint="eastAsia" w:ascii="宋体" w:hAnsi="宋体" w:eastAsia="宋体" w:cs="宋体"/>
          <w:spacing w:val="6"/>
          <w:sz w:val="22"/>
          <w:szCs w:val="22"/>
          <w:lang w:eastAsia="zh-CN"/>
        </w:rPr>
        <w:t>组织</w:t>
      </w:r>
      <w:r>
        <w:rPr>
          <w:rFonts w:ascii="宋体" w:hAnsi="宋体" w:eastAsia="宋体" w:cs="宋体"/>
          <w:spacing w:val="6"/>
          <w:sz w:val="22"/>
          <w:szCs w:val="22"/>
        </w:rPr>
        <w:t>验收，验收无异议，</w:t>
      </w:r>
      <w:r>
        <w:rPr>
          <w:rFonts w:hint="eastAsia" w:ascii="宋体" w:hAnsi="宋体" w:eastAsia="宋体" w:cs="宋体"/>
          <w:spacing w:val="6"/>
          <w:sz w:val="22"/>
          <w:szCs w:val="22"/>
          <w:lang w:eastAsia="zh-CN"/>
        </w:rPr>
        <w:t>方予以接收</w:t>
      </w:r>
      <w:r>
        <w:rPr>
          <w:rFonts w:ascii="宋体" w:hAnsi="宋体" w:eastAsia="宋体" w:cs="宋体"/>
          <w:spacing w:val="6"/>
          <w:sz w:val="22"/>
          <w:szCs w:val="22"/>
        </w:rPr>
        <w:t>。如乙方提供的构件有断裂、裂缝、破损等影响质量的缺陷，甲方有权不予接收。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交货地点：</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eastAsia="zh-CN"/>
        </w:rPr>
        <w:t>阜阳紫阳华苑</w:t>
      </w:r>
      <w:r>
        <w:rPr>
          <w:rFonts w:ascii="宋体" w:hAnsi="宋体" w:eastAsia="宋体" w:cs="宋体"/>
          <w:spacing w:val="6"/>
          <w:sz w:val="22"/>
          <w:szCs w:val="22"/>
          <w:u w:val="single"/>
        </w:rPr>
        <w:t>项目</w:t>
      </w:r>
      <w:r>
        <w:rPr>
          <w:rFonts w:hint="eastAsia" w:ascii="宋体" w:hAnsi="宋体" w:eastAsia="宋体" w:cs="宋体"/>
          <w:spacing w:val="6"/>
          <w:sz w:val="22"/>
          <w:szCs w:val="22"/>
          <w:u w:val="single"/>
          <w:lang w:eastAsia="zh-CN"/>
        </w:rPr>
        <w:t>工地</w:t>
      </w:r>
      <w:r>
        <w:rPr>
          <w:rFonts w:hint="eastAsia" w:ascii="宋体" w:hAnsi="宋体" w:eastAsia="宋体" w:cs="宋体"/>
          <w:spacing w:val="6"/>
          <w:sz w:val="22"/>
          <w:szCs w:val="2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 xml:space="preserve">1.7 </w:t>
      </w:r>
      <w:r>
        <w:rPr>
          <w:rFonts w:ascii="宋体" w:hAnsi="宋体" w:eastAsia="宋体" w:cs="宋体"/>
          <w:spacing w:val="6"/>
          <w:sz w:val="22"/>
          <w:szCs w:val="22"/>
        </w:rPr>
        <w:t>运输方式：</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汽车运输</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，乙方负责运输过程的安全。</w:t>
      </w:r>
    </w:p>
    <w:p>
      <w:pPr>
        <w:pStyle w:val="2"/>
        <w:rPr>
          <w:rFonts w:hint="eastAsia" w:eastAsia="宋体"/>
          <w:b/>
          <w:bCs/>
          <w:sz w:val="21"/>
          <w:szCs w:val="21"/>
          <w:lang w:val="en-US" w:eastAsia="zh-CN"/>
        </w:rPr>
      </w:pPr>
      <w:r>
        <w:rPr>
          <w:rFonts w:hint="eastAsia" w:eastAsia="宋体"/>
          <w:b/>
          <w:bCs/>
          <w:sz w:val="21"/>
          <w:szCs w:val="21"/>
          <w:lang w:val="en-US" w:eastAsia="zh-CN"/>
        </w:rPr>
        <w:t>2、运输、卸货及安全防护约定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2.1 运输过程中的一切费用由乙方负责。甲方计划应每批次超过</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 但每批次最后一车即便不满足</w:t>
      </w:r>
      <w:r>
        <w:rPr>
          <w:rFonts w:hint="eastAsia" w:ascii="宋体" w:hAnsi="宋体" w:eastAsia="宋体" w:cs="宋体"/>
          <w:spacing w:val="6"/>
          <w:sz w:val="22"/>
          <w:szCs w:val="22"/>
          <w:lang w:val="en-US" w:eastAsia="en-US"/>
        </w:rPr>
        <w:t>10</w:t>
      </w:r>
      <w:r>
        <w:rPr>
          <w:rFonts w:hint="eastAsia" w:ascii="宋体" w:hAnsi="宋体" w:eastAsia="宋体" w:cs="宋体"/>
          <w:spacing w:val="6"/>
          <w:sz w:val="22"/>
          <w:szCs w:val="22"/>
          <w:lang w:val="en-US" w:eastAsia="zh-CN"/>
        </w:rPr>
        <w:t xml:space="preserve"> m³也需要按实际配送，乙方不得以此要求增加运输费用。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2.2 乙方发货前，应确认甲方现场堆放场地具备运输和卸货条件，货场和道路硬化，符合车辆行走条件，甲方不承担由此造成的一切损失。</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2.3 乙方运输人员在现场具备运输的条件下，应听从甲方工作人员的合理安排，送货车辆不得随意乱停靠、随意行驶，不得故意刁难甲方现场验收人员，造成卸货停滞和影响生产，由此产生的后果由乙方负责，并赔偿因此造成的损失，不佩戴安全帽、酗酒进场、随地大小便、违反疫情防控规定等，每发现一次，扣100元/次，直接从当月材料款扣除。运输货物的车辆进出工地大门，必须遵守甲方工地门卫管理制度，做好进出场登记，进入工地现场必须听从现场管理人员的调度。所有构件出厂前必须达到强度标准，做好养护。后期如有出现构件表面起皮泛灰，导致装饰抹灰面空鼓开裂，经鉴定属于</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墙板问题造成的相关后果由乙方承担并赔偿由此造成的一切损失，且损失鉴定费由乙方负责。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2.4 运输费用及风险：由乙方负责</w:t>
      </w:r>
      <w:r>
        <w:rPr>
          <w:rFonts w:hint="eastAsia" w:ascii="宋体" w:hAnsi="宋体" w:eastAsia="宋体" w:cs="宋体"/>
          <w:spacing w:val="6"/>
          <w:sz w:val="22"/>
          <w:szCs w:val="22"/>
          <w:lang w:val="en-US" w:eastAsia="en-US"/>
        </w:rPr>
        <w:t>PC</w:t>
      </w:r>
      <w:r>
        <w:rPr>
          <w:rFonts w:hint="eastAsia" w:ascii="宋体" w:hAnsi="宋体" w:eastAsia="宋体" w:cs="宋体"/>
          <w:spacing w:val="6"/>
          <w:sz w:val="22"/>
          <w:szCs w:val="22"/>
          <w:lang w:val="en-US" w:eastAsia="zh-CN"/>
        </w:rPr>
        <w:t>构件的包装、运输及运输费用，并承担现场验收前运输过程及装卸运输中的相应的环保措施，因环保造成的一切罚款及责任由乙方自行承担。</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2.5 乙方负责构件运送到甲方指定的货物堆场，并配合甲方及时卸货、安全码放构件产品和场内二次倒运。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zh-CN" w:eastAsia="zh-CN"/>
        </w:rPr>
        <w:t>6</w:t>
      </w:r>
      <w:r>
        <w:rPr>
          <w:rFonts w:hint="eastAsia" w:ascii="宋体" w:hAnsi="宋体" w:eastAsia="宋体" w:cs="宋体"/>
          <w:spacing w:val="6"/>
          <w:sz w:val="22"/>
          <w:szCs w:val="22"/>
          <w:lang w:val="en-US" w:eastAsia="zh-CN"/>
        </w:rPr>
        <w:t xml:space="preserve"> 乙方在装运过程中所发生包括但不限于运费纠纷、劳务纠纷、车身清洁度、市政道路破坏赔偿等事宜，均由乙方负责，与甲方无关。乙方人员在甲方的施工现场内不遵守安全要求而造成的人身伤害等安全事故由乙方全权负责。</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7</w:t>
      </w:r>
      <w:r>
        <w:rPr>
          <w:rFonts w:hint="eastAsia" w:ascii="宋体" w:hAnsi="宋体" w:eastAsia="宋体" w:cs="宋体"/>
          <w:spacing w:val="6"/>
          <w:sz w:val="22"/>
          <w:szCs w:val="22"/>
          <w:lang w:val="en-US" w:eastAsia="zh-CN"/>
        </w:rPr>
        <w:t xml:space="preserve"> 乙方根据甲方施工需求，提前合理安排运输方案，不得耽误甲方施工。甲方临时调整货物进场时间，须至少提前24小时通知乙方，以便乙方重新安排供货计划。乙方需跟进甲方的材料进场计划配货。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2.8 货到甲方指定地点后，甲方指定现场代表验收。在确认乙方完成本次送货工作内容后，甲方代表在乙方送货回执上确认验收日期，并签名。</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w:t>
      </w:r>
      <w:r>
        <w:rPr>
          <w:rFonts w:hint="eastAsia" w:ascii="宋体" w:hAnsi="宋体" w:eastAsia="宋体" w:cs="宋体"/>
          <w:spacing w:val="6"/>
          <w:sz w:val="22"/>
          <w:szCs w:val="22"/>
          <w:lang w:val="en-US" w:eastAsia="en-US"/>
        </w:rPr>
        <w:t>9</w:t>
      </w:r>
      <w:r>
        <w:rPr>
          <w:rFonts w:hint="eastAsia" w:ascii="宋体" w:hAnsi="宋体" w:eastAsia="宋体" w:cs="宋体"/>
          <w:spacing w:val="6"/>
          <w:sz w:val="22"/>
          <w:szCs w:val="22"/>
          <w:lang w:val="en-US" w:eastAsia="zh-CN"/>
        </w:rPr>
        <w:t xml:space="preserve"> 乙方供货期间根据项目需求可派驻一名管理人员在甲方现场驻扎，进行调度等相关事宜对接，费用自理。</w:t>
      </w:r>
    </w:p>
    <w:p>
      <w:pPr>
        <w:pStyle w:val="2"/>
        <w:rPr>
          <w:rFonts w:hint="eastAsia" w:eastAsia="宋体"/>
          <w:b/>
          <w:bCs/>
          <w:sz w:val="21"/>
          <w:szCs w:val="21"/>
          <w:lang w:val="en-US" w:eastAsia="zh-CN"/>
        </w:rPr>
      </w:pPr>
      <w:r>
        <w:rPr>
          <w:rFonts w:hint="eastAsia" w:eastAsia="宋体"/>
          <w:b/>
          <w:bCs/>
          <w:sz w:val="21"/>
          <w:szCs w:val="21"/>
          <w:lang w:val="en-US" w:eastAsia="en-US"/>
        </w:rPr>
        <w:t>3</w:t>
      </w:r>
      <w:r>
        <w:rPr>
          <w:rFonts w:hint="eastAsia" w:eastAsia="宋体"/>
          <w:b/>
          <w:bCs/>
          <w:sz w:val="21"/>
          <w:szCs w:val="21"/>
          <w:lang w:val="en-US" w:eastAsia="zh-CN"/>
        </w:rPr>
        <w:t>、甲方现场堆放货架、辅助工具等方式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pPr>
      <w:r>
        <w:rPr>
          <w:rFonts w:hint="eastAsia" w:ascii="宋体" w:hAnsi="宋体" w:eastAsia="宋体" w:cs="宋体"/>
          <w:spacing w:val="6"/>
          <w:sz w:val="22"/>
          <w:szCs w:val="22"/>
          <w:lang w:val="en-US" w:eastAsia="zh-CN"/>
        </w:rPr>
        <w:t>甲方现场存放构件的用于构件吊装的吊具自行解决，且应与乙方生产的构件匹配，做好现场存放的产品保护并符合安全标准。如需乙方提供，费用和模式另行商议。本合同乙方免费提供构件存放架，丢失由乙方自行负责。</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八</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货物验收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1、验收方式；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1.1标的物自卸货起即为交付，甲方应在货到施工现场当日组织相关单位对PC构件进行验收，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在乙方的发货单或送货单上签收。</w:t>
      </w:r>
      <w:r>
        <w:rPr>
          <w:rFonts w:hint="eastAsia" w:ascii="宋体" w:hAnsi="宋体" w:eastAsia="宋体" w:cs="宋体"/>
          <w:spacing w:val="6"/>
          <w:sz w:val="22"/>
          <w:szCs w:val="22"/>
          <w:lang w:val="en-US" w:eastAsia="zh-CN"/>
        </w:rPr>
        <w:t>甲方代表</w:t>
      </w:r>
      <w:r>
        <w:rPr>
          <w:rFonts w:ascii="宋体" w:hAnsi="宋体" w:eastAsia="宋体" w:cs="宋体"/>
          <w:spacing w:val="6"/>
          <w:sz w:val="22"/>
          <w:szCs w:val="22"/>
        </w:rPr>
        <w:t>姓名：</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电 话</w:t>
      </w:r>
      <w:r>
        <w:rPr>
          <w:rFonts w:hint="eastAsia" w:ascii="宋体" w:hAnsi="宋体" w:eastAsia="宋体" w:cs="宋体"/>
          <w:spacing w:val="6"/>
          <w:sz w:val="22"/>
          <w:szCs w:val="22"/>
          <w:lang w:val="en-US" w:eastAsia="zh-CN"/>
        </w:rPr>
        <w:t>:</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变更，应当提前3个工作日书面通知乙方，因甲方未及时通知乙方，造成的损失由甲方自行承担。如甲方</w:t>
      </w:r>
      <w:r>
        <w:rPr>
          <w:rFonts w:hint="eastAsia" w:ascii="宋体" w:hAnsi="宋体" w:eastAsia="宋体" w:cs="宋体"/>
          <w:spacing w:val="6"/>
          <w:sz w:val="22"/>
          <w:szCs w:val="22"/>
          <w:lang w:eastAsia="zh-CN"/>
        </w:rPr>
        <w:t>代表</w:t>
      </w:r>
      <w:r>
        <w:rPr>
          <w:rFonts w:ascii="宋体" w:hAnsi="宋体" w:eastAsia="宋体" w:cs="宋体"/>
          <w:spacing w:val="6"/>
          <w:sz w:val="22"/>
          <w:szCs w:val="22"/>
        </w:rPr>
        <w:t>不在现场，</w:t>
      </w:r>
      <w:r>
        <w:rPr>
          <w:rFonts w:hint="eastAsia" w:ascii="宋体" w:hAnsi="宋体" w:eastAsia="宋体" w:cs="宋体"/>
          <w:spacing w:val="6"/>
          <w:sz w:val="22"/>
          <w:szCs w:val="22"/>
          <w:lang w:eastAsia="zh-CN"/>
        </w:rPr>
        <w:t>由</w:t>
      </w:r>
      <w:r>
        <w:rPr>
          <w:rFonts w:ascii="宋体" w:hAnsi="宋体" w:eastAsia="宋体" w:cs="宋体"/>
          <w:spacing w:val="6"/>
          <w:sz w:val="22"/>
          <w:szCs w:val="22"/>
        </w:rPr>
        <w:t>甲方</w:t>
      </w:r>
      <w:r>
        <w:rPr>
          <w:rFonts w:hint="eastAsia" w:ascii="宋体" w:hAnsi="宋体" w:eastAsia="宋体" w:cs="宋体"/>
          <w:spacing w:val="6"/>
          <w:sz w:val="22"/>
          <w:szCs w:val="22"/>
          <w:lang w:eastAsia="zh-CN"/>
        </w:rPr>
        <w:t>代表指定人员验收并签字，甲方代表返岗后，对该结果进行确认签字，否则视为无效。</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ascii="宋体" w:hAnsi="宋体" w:eastAsia="宋体" w:cs="宋体"/>
          <w:snapToGrid w:val="0"/>
          <w:color w:val="000000"/>
          <w:spacing w:val="6"/>
          <w:kern w:val="0"/>
          <w:sz w:val="22"/>
          <w:szCs w:val="22"/>
          <w:lang w:val="en-US" w:eastAsia="zh-CN"/>
        </w:rPr>
        <w:t>1.2</w:t>
      </w:r>
      <w:r>
        <w:rPr>
          <w:rFonts w:hint="eastAsia" w:cs="宋体"/>
          <w:snapToGrid w:val="0"/>
          <w:color w:val="000000"/>
          <w:spacing w:val="6"/>
          <w:kern w:val="0"/>
          <w:sz w:val="22"/>
          <w:szCs w:val="22"/>
          <w:lang w:val="en-US" w:eastAsia="zh-CN"/>
        </w:rPr>
        <w:t xml:space="preserve"> </w:t>
      </w:r>
      <w:r>
        <w:rPr>
          <w:rFonts w:ascii="宋体" w:hAnsi="宋体" w:eastAsia="宋体" w:cs="宋体"/>
          <w:snapToGrid w:val="0"/>
          <w:color w:val="000000"/>
          <w:spacing w:val="6"/>
          <w:kern w:val="0"/>
          <w:sz w:val="22"/>
          <w:szCs w:val="22"/>
        </w:rPr>
        <w:t>乙方负责货到现场后，甲方应组织人员在车上进行货物验收（质量、数量、规格、外观），货物验收包括构件和加固件，验收合格的，甲方</w:t>
      </w:r>
      <w:r>
        <w:rPr>
          <w:rFonts w:hint="eastAsia" w:cs="宋体"/>
          <w:snapToGrid w:val="0"/>
          <w:color w:val="000000"/>
          <w:spacing w:val="6"/>
          <w:kern w:val="0"/>
          <w:sz w:val="22"/>
          <w:szCs w:val="22"/>
          <w:lang w:eastAsia="zh-CN"/>
        </w:rPr>
        <w:t>代表</w:t>
      </w:r>
      <w:r>
        <w:rPr>
          <w:rFonts w:ascii="宋体" w:hAnsi="宋体" w:eastAsia="宋体" w:cs="宋体"/>
          <w:snapToGrid w:val="0"/>
          <w:color w:val="000000"/>
          <w:spacing w:val="6"/>
          <w:kern w:val="0"/>
          <w:sz w:val="22"/>
          <w:szCs w:val="22"/>
        </w:rPr>
        <w:t>确认签收；验收不合格的，经双方确认情况属实，由乙方退回，费用由乙方承担。验收完毕甲方及时履行验收交接手续及卸货；甲方在验收单签字后，视为对该批次的块数、方量、外观表示认可。产品使用过程中，甲方发现的非外部质量问题，经鉴定为乙方责任，乙方需承担更换构件、修复构件等产生的</w:t>
      </w:r>
      <w:r>
        <w:rPr>
          <w:rFonts w:hint="eastAsia" w:cs="宋体"/>
          <w:snapToGrid w:val="0"/>
          <w:color w:val="000000"/>
          <w:spacing w:val="6"/>
          <w:kern w:val="0"/>
          <w:sz w:val="22"/>
          <w:szCs w:val="22"/>
          <w:lang w:eastAsia="zh-CN"/>
        </w:rPr>
        <w:t>工期延期</w:t>
      </w:r>
      <w:r>
        <w:rPr>
          <w:rFonts w:ascii="宋体" w:hAnsi="宋体" w:eastAsia="宋体" w:cs="宋体"/>
          <w:snapToGrid w:val="0"/>
          <w:color w:val="000000"/>
          <w:spacing w:val="6"/>
          <w:kern w:val="0"/>
          <w:sz w:val="22"/>
          <w:szCs w:val="22"/>
        </w:rPr>
        <w:t>费用。乙方运输构件的垫块、门窗洞口加固件、存放架、叠合板托盘、钢梁等辅助材料，甲方负责及时装车，随乙方运输车辆带回；门窗洞口加固件等材料在该层混凝土浇筑完成后，甲方及时从楼层拆除，由甲方负责装车，并随乙方运输车辆带回。</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10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1.3 </w:t>
      </w:r>
      <w:r>
        <w:rPr>
          <w:rFonts w:ascii="宋体" w:hAnsi="宋体" w:eastAsia="宋体" w:cs="宋体"/>
          <w:snapToGrid w:val="0"/>
          <w:color w:val="000000"/>
          <w:spacing w:val="6"/>
          <w:kern w:val="0"/>
          <w:sz w:val="22"/>
          <w:szCs w:val="22"/>
        </w:rPr>
        <w:t>甲方在卸货验收过程中及收货后对</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质量有异议时，立即通过包含但不限于书面通知、短信通知、微信通知、电话通知、电子邮件通知等方式向乙方提出，乙方收到甲方的通知且确认无异议后，应解决此质量问题。如果不能解决（乙方有责任对质量问题进行退换货及补足产品数量处理），甲方有权对有质量问题的货物要求做出退换货处理</w:t>
      </w:r>
      <w:r>
        <w:rPr>
          <w:rFonts w:hint="eastAsia" w:cs="宋体"/>
          <w:snapToGrid w:val="0"/>
          <w:color w:val="000000"/>
          <w:spacing w:val="6"/>
          <w:kern w:val="0"/>
          <w:sz w:val="22"/>
          <w:szCs w:val="22"/>
          <w:lang w:eastAsia="zh-CN"/>
        </w:rPr>
        <w:t>，并追偿损失</w:t>
      </w:r>
      <w:r>
        <w:rPr>
          <w:rFonts w:ascii="宋体" w:hAnsi="宋体" w:eastAsia="宋体" w:cs="宋体"/>
          <w:snapToGrid w:val="0"/>
          <w:color w:val="000000"/>
          <w:spacing w:val="6"/>
          <w:kern w:val="0"/>
          <w:sz w:val="22"/>
          <w:szCs w:val="22"/>
        </w:rPr>
        <w:t>。</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rPr>
          <w:rFonts w:ascii="宋体" w:hAnsi="宋体" w:eastAsia="宋体" w:cs="宋体"/>
          <w:snapToGrid w:val="0"/>
          <w:color w:val="000000"/>
          <w:spacing w:val="6"/>
          <w:kern w:val="0"/>
          <w:sz w:val="22"/>
          <w:szCs w:val="22"/>
        </w:rPr>
      </w:pPr>
      <w:r>
        <w:rPr>
          <w:rFonts w:hint="eastAsia" w:cs="宋体"/>
          <w:snapToGrid w:val="0"/>
          <w:color w:val="000000"/>
          <w:spacing w:val="6"/>
          <w:kern w:val="0"/>
          <w:sz w:val="22"/>
          <w:szCs w:val="22"/>
          <w:lang w:val="en-US" w:eastAsia="zh-CN"/>
        </w:rPr>
        <w:t xml:space="preserve">1.4 </w:t>
      </w:r>
      <w:r>
        <w:rPr>
          <w:rFonts w:ascii="宋体" w:hAnsi="宋体" w:eastAsia="宋体" w:cs="宋体"/>
          <w:snapToGrid w:val="0"/>
          <w:color w:val="000000"/>
          <w:spacing w:val="6"/>
          <w:kern w:val="0"/>
          <w:sz w:val="22"/>
          <w:szCs w:val="22"/>
        </w:rPr>
        <w:t>对于乙方提供的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构件所产生的全部费用。</w:t>
      </w:r>
    </w:p>
    <w:p>
      <w:pPr>
        <w:pStyle w:val="47"/>
        <w:keepNext w:val="0"/>
        <w:keepLines w:val="0"/>
        <w:pageBreakBefore w:val="0"/>
        <w:widowControl w:val="0"/>
        <w:shd w:val="clear" w:color="auto" w:fill="auto"/>
        <w:kinsoku w:val="0"/>
        <w:wordWrap/>
        <w:overflowPunct/>
        <w:topLinePunct w:val="0"/>
        <w:autoSpaceDE w:val="0"/>
        <w:autoSpaceDN w:val="0"/>
        <w:bidi w:val="0"/>
        <w:adjustRightInd w:val="0"/>
        <w:snapToGrid w:val="0"/>
        <w:spacing w:before="46" w:after="0" w:line="360" w:lineRule="auto"/>
        <w:ind w:left="105" w:leftChars="50" w:right="255" w:firstLine="464" w:firstLineChars="200"/>
        <w:jc w:val="both"/>
        <w:textAlignment w:val="baseline"/>
      </w:pPr>
      <w:r>
        <w:rPr>
          <w:rFonts w:hint="eastAsia" w:cs="宋体"/>
          <w:snapToGrid w:val="0"/>
          <w:color w:val="000000"/>
          <w:spacing w:val="6"/>
          <w:kern w:val="0"/>
          <w:sz w:val="22"/>
          <w:szCs w:val="22"/>
          <w:lang w:val="en-US" w:eastAsia="zh-CN"/>
        </w:rPr>
        <w:t xml:space="preserve">1.5 </w:t>
      </w:r>
      <w:r>
        <w:rPr>
          <w:rFonts w:ascii="宋体" w:hAnsi="宋体" w:eastAsia="宋体" w:cs="宋体"/>
          <w:snapToGrid w:val="0"/>
          <w:color w:val="000000"/>
          <w:spacing w:val="6"/>
          <w:kern w:val="0"/>
          <w:sz w:val="22"/>
          <w:szCs w:val="22"/>
        </w:rPr>
        <w:t>乙方向甲方提交</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构件的资料及</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构件质量证明资料包括但不限于</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构件合格证（原件）、国家认证机构出具的</w:t>
      </w:r>
      <w:r>
        <w:rPr>
          <w:rFonts w:ascii="宋体" w:hAnsi="宋体" w:eastAsia="宋体" w:cs="宋体"/>
          <w:snapToGrid w:val="0"/>
          <w:color w:val="000000"/>
          <w:spacing w:val="6"/>
          <w:kern w:val="0"/>
          <w:sz w:val="22"/>
          <w:szCs w:val="22"/>
          <w:lang w:val="en-US" w:eastAsia="en-US"/>
        </w:rPr>
        <w:t>PC</w:t>
      </w:r>
      <w:r>
        <w:rPr>
          <w:rFonts w:ascii="宋体" w:hAnsi="宋体" w:eastAsia="宋体" w:cs="宋体"/>
          <w:snapToGrid w:val="0"/>
          <w:color w:val="000000"/>
          <w:spacing w:val="6"/>
          <w:kern w:val="0"/>
          <w:sz w:val="22"/>
          <w:szCs w:val="22"/>
        </w:rPr>
        <w:t>构件原材质量检验报告（需加盖厂家公章），并全力配合甲方对资料进行收集、整理、汇编和报验工作，如乙方在收款前未全部提供的，甲方有权拒绝收货。</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pPr>
      <w:r>
        <w:rPr>
          <w:rFonts w:hint="eastAsia" w:ascii="宋体" w:hAnsi="宋体" w:eastAsia="宋体" w:cs="宋体"/>
          <w:spacing w:val="6"/>
          <w:sz w:val="22"/>
          <w:szCs w:val="22"/>
          <w:lang w:val="en-US" w:eastAsia="zh-CN"/>
        </w:rPr>
        <w:t xml:space="preserve">1.6 </w:t>
      </w:r>
      <w:r>
        <w:rPr>
          <w:rFonts w:ascii="宋体" w:hAnsi="宋体" w:eastAsia="宋体" w:cs="宋体"/>
          <w:spacing w:val="6"/>
          <w:sz w:val="22"/>
          <w:szCs w:val="22"/>
        </w:rPr>
        <w:t>对于乙方提供的</w:t>
      </w:r>
      <w:r>
        <w:rPr>
          <w:rFonts w:ascii="宋体" w:hAnsi="宋体" w:eastAsia="宋体" w:cs="宋体"/>
          <w:spacing w:val="6"/>
          <w:sz w:val="22"/>
          <w:szCs w:val="22"/>
          <w:lang w:val="en-US" w:eastAsia="en-US"/>
        </w:rPr>
        <w:t>PC</w:t>
      </w:r>
      <w:r>
        <w:rPr>
          <w:rFonts w:ascii="宋体" w:hAnsi="宋体" w:eastAsia="宋体" w:cs="宋体"/>
          <w:spacing w:val="6"/>
          <w:sz w:val="22"/>
          <w:szCs w:val="22"/>
        </w:rPr>
        <w:t>板预留孔洞尺寸、预埋管线及底盒等不符合设计要求存有质量瑕疵的，由甲方通知乙方负责整改，如乙方不派人整改的，甲方项目部拍好照片和整改单，派人整改，其发生的费用由乙方承担，其费用在最终结算中扣除，不足扣除部分，由乙方另行赔偿。如确实无法整改的，甲方有权直接从结算清单中扣除相应数量，并有权要求乙方赔偿甲方从第三方购买相应数量</w:t>
      </w:r>
      <w:r>
        <w:rPr>
          <w:rFonts w:ascii="宋体" w:hAnsi="宋体" w:eastAsia="宋体" w:cs="宋体"/>
          <w:spacing w:val="6"/>
          <w:sz w:val="22"/>
          <w:szCs w:val="22"/>
          <w:lang w:val="en-US" w:eastAsia="en-US"/>
        </w:rPr>
        <w:t>PC</w:t>
      </w:r>
      <w:r>
        <w:rPr>
          <w:rFonts w:ascii="宋体" w:hAnsi="宋体" w:eastAsia="宋体" w:cs="宋体"/>
          <w:spacing w:val="6"/>
          <w:sz w:val="22"/>
          <w:szCs w:val="22"/>
        </w:rPr>
        <w:t>构件所产生的全部费用，给甲方造成的一切损失由乙方赔偿。乙方全程负责所供</w:t>
      </w:r>
      <w:r>
        <w:rPr>
          <w:rFonts w:ascii="宋体" w:hAnsi="宋体" w:eastAsia="宋体" w:cs="宋体"/>
          <w:spacing w:val="6"/>
          <w:sz w:val="22"/>
          <w:szCs w:val="22"/>
          <w:lang w:val="en-US" w:eastAsia="en-US"/>
        </w:rPr>
        <w:t>PC</w:t>
      </w:r>
      <w:r>
        <w:rPr>
          <w:rFonts w:ascii="宋体" w:hAnsi="宋体" w:eastAsia="宋体" w:cs="宋体"/>
          <w:spacing w:val="6"/>
          <w:sz w:val="22"/>
          <w:szCs w:val="22"/>
        </w:rPr>
        <w:t>构件自身的质量问题，在本层顶板混凝土浇筑完成后, 立即进行维修，确保检査不出问题。</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105" w:leftChars="50"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w:t>
      </w:r>
      <w:r>
        <w:rPr>
          <w:rFonts w:hint="eastAsia" w:ascii="宋体" w:hAnsi="宋体" w:eastAsia="宋体" w:cs="宋体"/>
          <w:spacing w:val="6"/>
          <w:sz w:val="22"/>
          <w:szCs w:val="22"/>
          <w:lang w:val="en-US" w:eastAsia="zh-CN"/>
        </w:rPr>
        <w:t xml:space="preserve">7 </w:t>
      </w:r>
      <w:r>
        <w:rPr>
          <w:rFonts w:ascii="宋体" w:hAnsi="宋体" w:eastAsia="宋体" w:cs="宋体"/>
          <w:spacing w:val="6"/>
          <w:sz w:val="22"/>
          <w:szCs w:val="22"/>
        </w:rPr>
        <w:t>乙方未将货物交付甲方指定人员或现场没有办理验收、交货手续货物缺损、丢失的，甲方不承担任何责任。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right="255" w:firstLine="696" w:firstLineChars="300"/>
        <w:jc w:val="both"/>
        <w:textAlignment w:val="baseline"/>
        <w:rPr>
          <w:rFonts w:ascii="宋体" w:hAnsi="宋体" w:eastAsia="宋体" w:cs="宋体"/>
          <w:spacing w:val="6"/>
          <w:sz w:val="22"/>
          <w:szCs w:val="22"/>
        </w:rPr>
      </w:pPr>
      <w:r>
        <w:rPr>
          <w:rFonts w:ascii="宋体" w:hAnsi="宋体" w:eastAsia="宋体" w:cs="宋体"/>
          <w:spacing w:val="6"/>
          <w:sz w:val="22"/>
          <w:szCs w:val="22"/>
        </w:rPr>
        <w:t>2、验收争议解决方式：</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2.1 甲方人员验收时应核对：数量、规格、型号、质量要求、完好程度、预制混凝土构件相关资料等，甲方在验收过程中对构件的质量有异议时，应当场提出并交乙方现场人员确认</w:t>
      </w:r>
      <w:r>
        <w:rPr>
          <w:rFonts w:hint="eastAsia" w:ascii="宋体" w:hAnsi="宋体" w:eastAsia="宋体" w:cs="宋体"/>
          <w:spacing w:val="6"/>
          <w:sz w:val="22"/>
          <w:szCs w:val="22"/>
          <w:lang w:eastAsia="zh-CN"/>
        </w:rPr>
        <w:t>，确认有质量问题的，由此造成的工期延误等</w:t>
      </w:r>
      <w:r>
        <w:rPr>
          <w:rFonts w:ascii="宋体" w:hAnsi="宋体" w:eastAsia="宋体" w:cs="宋体"/>
          <w:spacing w:val="6"/>
          <w:sz w:val="22"/>
          <w:szCs w:val="22"/>
        </w:rPr>
        <w:t>一切损失由乙方承担</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2.2 当甲乙双方对产品质量产生争议时，由双方共同确认选择具有相关资质的检测机构进行鉴定，经检测鉴定为合格的，检测费用由甲方承担；经检测鉴定为不合格的，检测费用及对甲方造成一切损失由乙方承担。</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九</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对发票的约定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u w:val="none"/>
          <w:lang w:eastAsia="zh-CN"/>
        </w:rPr>
      </w:pPr>
      <w:r>
        <w:rPr>
          <w:rFonts w:ascii="宋体" w:hAnsi="宋体" w:eastAsia="宋体" w:cs="宋体"/>
          <w:spacing w:val="6"/>
          <w:sz w:val="22"/>
          <w:szCs w:val="22"/>
        </w:rPr>
        <w:t>1、乙方必须提供增值税专用发票，且增值税率为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2、甲方向乙方付款时</w:t>
      </w:r>
      <w:r>
        <w:rPr>
          <w:rFonts w:hint="eastAsia" w:ascii="宋体" w:hAnsi="宋体" w:eastAsia="宋体" w:cs="宋体"/>
          <w:spacing w:val="6"/>
          <w:sz w:val="22"/>
          <w:szCs w:val="22"/>
          <w:lang w:eastAsia="zh-CN"/>
        </w:rPr>
        <w:t>，</w:t>
      </w:r>
      <w:r>
        <w:rPr>
          <w:rFonts w:ascii="宋体" w:hAnsi="宋体" w:eastAsia="宋体" w:cs="宋体"/>
          <w:spacing w:val="6"/>
          <w:sz w:val="22"/>
          <w:szCs w:val="22"/>
        </w:rPr>
        <w:t>乙方须提供不少于相应付款额的合法合规发票。</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3、发票上购买方名称、税号必须与合同甲方名称、税号一致，销售方名称、税号必须与合同乙方名称、税号一致：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4、甲方发票信息：</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ascii="宋体" w:hAnsi="宋体" w:eastAsia="宋体" w:cs="宋体"/>
          <w:spacing w:val="6"/>
          <w:sz w:val="22"/>
          <w:szCs w:val="22"/>
        </w:rPr>
        <w:t>公司名称：</w:t>
      </w:r>
      <w:r>
        <w:rPr>
          <w:rFonts w:hint="eastAsia" w:ascii="宋体" w:hAnsi="宋体" w:eastAsia="宋体" w:cs="宋体"/>
          <w:spacing w:val="6"/>
          <w:sz w:val="22"/>
          <w:szCs w:val="22"/>
          <w:u w:val="single"/>
          <w:lang w:val="en-US" w:eastAsia="zh-CN"/>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地   址：</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ascii="宋体" w:hAnsi="宋体" w:eastAsia="宋体" w:cs="宋体"/>
          <w:spacing w:val="6"/>
          <w:sz w:val="22"/>
          <w:szCs w:val="22"/>
        </w:rPr>
        <w:t>公司税号：</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开户银行：</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 xml:space="preserve">账   号：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rPr>
        <w:t xml:space="preserve"> </w:t>
      </w:r>
      <w:r>
        <w:rPr>
          <w:rFonts w:hint="eastAsia" w:ascii="宋体" w:hAnsi="宋体" w:eastAsia="宋体" w:cs="宋体"/>
          <w:spacing w:val="6"/>
          <w:sz w:val="22"/>
          <w:szCs w:val="22"/>
          <w:lang w:val="en-US" w:eastAsia="zh-CN"/>
        </w:rPr>
        <w:t xml:space="preserve"> </w:t>
      </w:r>
      <w:r>
        <w:rPr>
          <w:rFonts w:ascii="宋体" w:hAnsi="宋体" w:eastAsia="宋体" w:cs="宋体"/>
          <w:spacing w:val="6"/>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b/>
          <w:bCs/>
          <w:spacing w:val="6"/>
          <w:sz w:val="24"/>
          <w:szCs w:val="24"/>
        </w:rPr>
      </w:pPr>
      <w:r>
        <w:rPr>
          <w:rFonts w:ascii="宋体" w:hAnsi="宋体" w:eastAsia="宋体" w:cs="宋体"/>
          <w:b/>
          <w:bCs/>
          <w:spacing w:val="6"/>
          <w:sz w:val="24"/>
          <w:szCs w:val="24"/>
        </w:rPr>
        <w:t>十</w:t>
      </w:r>
      <w:r>
        <w:rPr>
          <w:rFonts w:hint="eastAsia" w:ascii="宋体" w:hAnsi="宋体" w:eastAsia="宋体" w:cs="宋体"/>
          <w:b/>
          <w:bCs/>
          <w:spacing w:val="6"/>
          <w:sz w:val="24"/>
          <w:szCs w:val="24"/>
          <w:lang w:eastAsia="zh-CN"/>
        </w:rPr>
        <w:t>、</w:t>
      </w:r>
      <w:r>
        <w:rPr>
          <w:rFonts w:ascii="宋体" w:hAnsi="宋体" w:eastAsia="宋体" w:cs="宋体"/>
          <w:b/>
          <w:bCs/>
          <w:spacing w:val="6"/>
          <w:sz w:val="24"/>
          <w:szCs w:val="24"/>
        </w:rPr>
        <w:t>图纸确认及设计变更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1、甲方应当向乙方提供指定设计院已审批并盖有审图机构合格印章的蓝图。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2、乙方应当对甲方提交的盖章蓝图进行签收确认，并严格按照</w:t>
      </w:r>
      <w:r>
        <w:rPr>
          <w:rFonts w:hint="eastAsia" w:ascii="宋体" w:hAnsi="宋体" w:eastAsia="宋体" w:cs="宋体"/>
          <w:spacing w:val="6"/>
          <w:sz w:val="22"/>
          <w:szCs w:val="22"/>
          <w:lang w:eastAsia="zh-CN"/>
        </w:rPr>
        <w:t>深化后</w:t>
      </w:r>
      <w:r>
        <w:rPr>
          <w:rFonts w:ascii="宋体" w:hAnsi="宋体" w:eastAsia="宋体" w:cs="宋体"/>
          <w:spacing w:val="6"/>
          <w:sz w:val="22"/>
          <w:szCs w:val="22"/>
        </w:rPr>
        <w:t>纸质版蓝图进行构件制作</w:t>
      </w:r>
      <w:r>
        <w:rPr>
          <w:rFonts w:hint="eastAsia" w:ascii="宋体" w:hAnsi="宋体" w:eastAsia="宋体" w:cs="宋体"/>
          <w:spacing w:val="6"/>
          <w:sz w:val="22"/>
          <w:szCs w:val="22"/>
          <w:lang w:eastAsia="zh-CN"/>
        </w:rPr>
        <w:t>，乙方无条件对图纸进行深化，优化构件</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3、设计变更：如甲方需要变更图纸的，由甲方书面通知乙方并向乙方提供设计变更函加盖设计院公章证明</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十一、供货期限</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1、合同签订生效后，预付款到账且已审批及盖章图纸交付乙方后，乙方开始首批排产供货。首批预制件进场时间暂定为</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年   月   日</w:t>
      </w:r>
      <w:r>
        <w:rPr>
          <w:rFonts w:ascii="宋体" w:hAnsi="宋体" w:eastAsia="宋体" w:cs="宋体"/>
          <w:spacing w:val="6"/>
          <w:sz w:val="22"/>
          <w:szCs w:val="22"/>
        </w:rPr>
        <w:t>，标准层平均每5天/层，构件供应完成时间以项目实际进度为准。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2、乙方应按照工程进度计划开展供货工作。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3、乙方应当严格按照甲方的月供货计划及周供货计划进行供货，如因乙方原因未能按进度计划完成供货工作，监理方和甲方有权要求乙方在5日内赶回计划进度</w:t>
      </w:r>
      <w:r>
        <w:rPr>
          <w:rFonts w:hint="eastAsia" w:ascii="宋体" w:hAnsi="宋体" w:eastAsia="宋体" w:cs="宋体"/>
          <w:spacing w:val="6"/>
          <w:sz w:val="22"/>
          <w:szCs w:val="22"/>
          <w:lang w:eastAsia="zh-CN"/>
        </w:rPr>
        <w:t>，并由乙方承担延期产生的一切费用</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4、乙方因下列因素造成工程延误，工期可相应顺延：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4.1 供货如遇不可抗力(如地震等)的影响而造成乙方无法正常供货的，乙方应于不可抗力发生后12小时内通知甲方，并于二个工作日内向甲方提供不可抗力发生的证明文件</w:t>
      </w:r>
      <w:r>
        <w:rPr>
          <w:rFonts w:hint="eastAsia" w:ascii="宋体" w:hAnsi="宋体" w:eastAsia="宋体" w:cs="宋体"/>
          <w:spacing w:val="6"/>
          <w:sz w:val="22"/>
          <w:szCs w:val="22"/>
          <w:lang w:eastAsia="zh-CN"/>
        </w:rPr>
        <w:t>需政府相关部门认可的书面文件且甲方书面认可，否则工期不</w:t>
      </w:r>
      <w:r>
        <w:rPr>
          <w:rFonts w:ascii="宋体" w:hAnsi="宋体" w:eastAsia="宋体" w:cs="宋体"/>
          <w:spacing w:val="6"/>
          <w:sz w:val="22"/>
          <w:szCs w:val="22"/>
        </w:rPr>
        <w:t>顺延</w:t>
      </w:r>
      <w:r>
        <w:rPr>
          <w:rFonts w:hint="eastAsia" w:ascii="宋体" w:hAnsi="宋体" w:eastAsia="宋体" w:cs="宋体"/>
          <w:spacing w:val="6"/>
          <w:sz w:val="22"/>
          <w:szCs w:val="22"/>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十二、下列文件为本工程的合同文件(以下简称“合同文件”)。</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1、本合同及相关协议。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w:t>
      </w:r>
      <w:r>
        <w:rPr>
          <w:rFonts w:hint="eastAsia" w:ascii="宋体" w:hAnsi="宋体" w:eastAsia="宋体" w:cs="宋体"/>
          <w:spacing w:val="6"/>
          <w:sz w:val="22"/>
          <w:szCs w:val="22"/>
          <w:lang w:eastAsia="zh-CN"/>
        </w:rPr>
        <w:t>深化后的</w:t>
      </w:r>
      <w:r>
        <w:rPr>
          <w:rFonts w:ascii="宋体" w:hAnsi="宋体" w:eastAsia="宋体" w:cs="宋体"/>
          <w:spacing w:val="6"/>
          <w:sz w:val="22"/>
          <w:szCs w:val="22"/>
        </w:rPr>
        <w:t>盖章图纸及乙方签收的图纸变更。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3、技术法规和规范、强制性标准条文。</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4、国家、地方及其余行政或技术规定。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5、甲方签字确认的送货单或发货单。</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6、合同履行中，双方有关工程的洽商、变更等书面协议或文件，一经双方签字盖章，即视为本合同的组成部分。</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7、行业标准、规范及有关技术文件上述各文件是相互解释的。但在出现含糊不清或彼此矛盾时，上述文件的排列次序将作为对合同意义解释的优先次序。</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ascii="宋体" w:hAnsi="宋体" w:eastAsia="宋体" w:cs="宋体"/>
          <w:spacing w:val="6"/>
          <w:sz w:val="22"/>
          <w:szCs w:val="22"/>
        </w:rPr>
      </w:pPr>
      <w:r>
        <w:rPr>
          <w:rFonts w:hint="eastAsia" w:ascii="宋体" w:hAnsi="宋体" w:eastAsia="宋体" w:cs="宋体"/>
          <w:b/>
          <w:bCs/>
          <w:spacing w:val="6"/>
          <w:sz w:val="24"/>
          <w:szCs w:val="24"/>
          <w:lang w:eastAsia="zh-CN"/>
        </w:rPr>
        <w:t>十三、甲方责任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1</w:t>
      </w:r>
      <w:r>
        <w:rPr>
          <w:rFonts w:ascii="宋体" w:hAnsi="宋体" w:eastAsia="宋体" w:cs="宋体"/>
          <w:spacing w:val="6"/>
          <w:sz w:val="22"/>
          <w:szCs w:val="22"/>
        </w:rPr>
        <w:t>、乙方将产品按甲方要求时间运至甲方指定地点后，甲方指定收货人应于送货当日在送货单据上确认验收后签字，并交给甲方收货代表一联保存，作为结算依据。</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、甲方如对已确定货物的收货时间有所变更，应至少发货前12小时通知乙方。</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696" w:firstLineChars="300"/>
        <w:jc w:val="both"/>
        <w:textAlignment w:val="baseline"/>
        <w:rPr>
          <w:rFonts w:hint="eastAsia" w:ascii="宋体" w:hAnsi="宋体" w:eastAsia="宋体" w:cs="宋体"/>
          <w:b/>
          <w:bCs/>
          <w:spacing w:val="6"/>
          <w:sz w:val="24"/>
          <w:szCs w:val="24"/>
          <w:lang w:val="en-US" w:eastAsia="zh-CN"/>
        </w:rPr>
      </w:pPr>
      <w:r>
        <w:rPr>
          <w:rFonts w:hint="eastAsia" w:ascii="宋体" w:hAnsi="宋体" w:eastAsia="宋体" w:cs="宋体"/>
          <w:spacing w:val="6"/>
          <w:sz w:val="22"/>
          <w:szCs w:val="22"/>
          <w:lang w:val="en-US" w:eastAsia="zh-CN"/>
        </w:rPr>
        <w:t>3、甲方应按经双方确认的材料款支付。</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十四、乙方责任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hint="eastAsia" w:ascii="宋体" w:hAnsi="宋体" w:eastAsia="宋体" w:cs="宋体"/>
          <w:spacing w:val="6"/>
          <w:sz w:val="22"/>
          <w:szCs w:val="22"/>
          <w:lang w:eastAsia="zh-CN"/>
        </w:rPr>
        <w:t>1、乙方须在本合同签订之前，向甲方支付履约保证金即</w:t>
      </w:r>
      <w:r>
        <w:rPr>
          <w:rFonts w:hint="eastAsia" w:ascii="宋体" w:hAnsi="宋体" w:eastAsia="宋体" w:cs="宋体"/>
          <w:spacing w:val="6"/>
          <w:sz w:val="22"/>
          <w:szCs w:val="22"/>
          <w:lang w:val="en-US" w:eastAsia="zh-CN"/>
        </w:rPr>
        <w:t>1000</w:t>
      </w:r>
      <w:r>
        <w:rPr>
          <w:rFonts w:hint="eastAsia" w:ascii="宋体" w:hAnsi="宋体" w:eastAsia="宋体" w:cs="宋体"/>
          <w:spacing w:val="6"/>
          <w:sz w:val="22"/>
          <w:szCs w:val="22"/>
          <w:lang w:val="en-US" w:eastAsia="en-US"/>
        </w:rPr>
        <w:t>00.00</w:t>
      </w:r>
      <w:r>
        <w:rPr>
          <w:rFonts w:hint="eastAsia" w:ascii="宋体" w:hAnsi="宋体" w:eastAsia="宋体" w:cs="宋体"/>
          <w:spacing w:val="6"/>
          <w:sz w:val="22"/>
          <w:szCs w:val="22"/>
          <w:lang w:eastAsia="zh-CN"/>
        </w:rPr>
        <w:t>元（大写：壹拾万整）</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2、</w:t>
      </w:r>
      <w:r>
        <w:rPr>
          <w:rFonts w:ascii="宋体" w:hAnsi="宋体" w:eastAsia="宋体" w:cs="宋体"/>
          <w:spacing w:val="6"/>
          <w:sz w:val="22"/>
          <w:szCs w:val="22"/>
        </w:rPr>
        <w:t>如合同签订后乙方违约不向甲方供应构件的，应向甲方支付本合同暂定总价款的5%作为违约金。</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3、乙方未按计划导致延期供货，罚款5000元/天；</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4、乙方不遵守安全、质量等要求，罚款1000元/次；</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5</w:t>
      </w:r>
      <w:r>
        <w:rPr>
          <w:rFonts w:ascii="宋体" w:hAnsi="宋体" w:eastAsia="宋体" w:cs="宋体"/>
          <w:spacing w:val="6"/>
          <w:sz w:val="22"/>
          <w:szCs w:val="22"/>
        </w:rPr>
        <w:t>、乙方严格按装配整体式混凝土结构工程预制构件有关的规范、标准积极组织生产，确保自身的安全生产、产品质量和生产进度，不得影响工程整体施工进度。</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6</w:t>
      </w:r>
      <w:r>
        <w:rPr>
          <w:rFonts w:ascii="宋体" w:hAnsi="宋体" w:eastAsia="宋体" w:cs="宋体"/>
          <w:spacing w:val="6"/>
          <w:sz w:val="22"/>
          <w:szCs w:val="22"/>
        </w:rPr>
        <w:t>、乙方应向甲方提供有关技术交底，及时提供安装技术咨询和指导，积极协同甲方</w:t>
      </w:r>
      <w:r>
        <w:rPr>
          <w:rFonts w:hint="eastAsia" w:ascii="宋体" w:hAnsi="宋体" w:eastAsia="宋体" w:cs="宋体"/>
          <w:spacing w:val="6"/>
          <w:sz w:val="22"/>
          <w:szCs w:val="22"/>
          <w:lang w:eastAsia="zh-CN"/>
        </w:rPr>
        <w:t>、</w:t>
      </w:r>
      <w:r>
        <w:rPr>
          <w:rFonts w:ascii="宋体" w:hAnsi="宋体" w:eastAsia="宋体" w:cs="宋体"/>
          <w:spacing w:val="6"/>
          <w:sz w:val="22"/>
          <w:szCs w:val="22"/>
        </w:rPr>
        <w:t>监理单位的沟通及有关预制件的深化设计，做好预制品交货前的</w:t>
      </w:r>
      <w:r>
        <w:rPr>
          <w:rFonts w:hint="eastAsia" w:ascii="宋体" w:hAnsi="宋体" w:eastAsia="宋体" w:cs="宋体"/>
          <w:spacing w:val="6"/>
          <w:sz w:val="22"/>
          <w:szCs w:val="22"/>
          <w:lang w:eastAsia="zh-CN"/>
        </w:rPr>
        <w:t>成品</w:t>
      </w:r>
      <w:r>
        <w:rPr>
          <w:rFonts w:ascii="宋体" w:hAnsi="宋体" w:eastAsia="宋体" w:cs="宋体"/>
          <w:spacing w:val="6"/>
          <w:sz w:val="22"/>
          <w:szCs w:val="22"/>
        </w:rPr>
        <w:t>保护工作。</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7</w:t>
      </w:r>
      <w:r>
        <w:rPr>
          <w:rFonts w:ascii="宋体" w:hAnsi="宋体" w:eastAsia="宋体" w:cs="宋体"/>
          <w:spacing w:val="6"/>
          <w:sz w:val="22"/>
          <w:szCs w:val="22"/>
        </w:rPr>
        <w:t>、乙方交货时，应向甲方提供送货明细，载明产品名称、规格型号、单位、数量、生产时间等相关信息；成品预制件应显著标明吊点、规格型号、安装部位和单位工程。</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8</w:t>
      </w:r>
      <w:r>
        <w:rPr>
          <w:rFonts w:ascii="宋体" w:hAnsi="宋体" w:eastAsia="宋体" w:cs="宋体"/>
          <w:spacing w:val="6"/>
          <w:sz w:val="22"/>
          <w:szCs w:val="22"/>
        </w:rPr>
        <w:t>、货物运抵现场后，乙方运输人员遵守甲方项目部的有关管理规定，并服从现场人员安排，配合将车辆开到指定地点。</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hint="eastAsia" w:ascii="宋体" w:hAnsi="宋体" w:eastAsia="宋体" w:cs="宋体"/>
          <w:spacing w:val="6"/>
          <w:sz w:val="22"/>
          <w:szCs w:val="22"/>
          <w:lang w:val="en-US" w:eastAsia="zh-CN"/>
        </w:rPr>
        <w:t>9</w:t>
      </w:r>
      <w:r>
        <w:rPr>
          <w:rFonts w:ascii="宋体" w:hAnsi="宋体" w:eastAsia="宋体" w:cs="宋体"/>
          <w:spacing w:val="6"/>
          <w:sz w:val="22"/>
          <w:szCs w:val="22"/>
        </w:rPr>
        <w:t>、乙方承担供货过程中由于自身原因导致的交通安全等责任，因乙方原因导致甲方和第三人身伤害和财产损失，乙方承担全部赔偿责任。</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default"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10、免费进行图纸深化，并准备装配式专家评审资料，配合进行装配式图审。</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十五、其他约定</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Arial"/>
          <w:spacing w:val="6"/>
          <w:sz w:val="21"/>
        </w:rPr>
      </w:pPr>
      <w:r>
        <w:rPr>
          <w:rFonts w:ascii="宋体" w:hAnsi="宋体" w:eastAsia="宋体" w:cs="宋体"/>
          <w:spacing w:val="6"/>
          <w:sz w:val="22"/>
          <w:szCs w:val="22"/>
        </w:rPr>
        <w:t>若因预制构件质量问题或因乙方生产的产品不符合图纸要求导致现场不能满足安装的所造成的返工费用由乙方自行承担</w:t>
      </w:r>
      <w:r>
        <w:rPr>
          <w:rFonts w:hint="eastAsia" w:ascii="宋体" w:hAnsi="宋体" w:eastAsia="宋体" w:cs="宋体"/>
          <w:spacing w:val="6"/>
          <w:sz w:val="22"/>
          <w:szCs w:val="22"/>
          <w:lang w:eastAsia="zh-CN"/>
        </w:rPr>
        <w:t>，并赔偿由此给甲方造成的一切损失</w:t>
      </w:r>
      <w:r>
        <w:rPr>
          <w:rFonts w:ascii="宋体" w:hAnsi="宋体" w:eastAsia="宋体" w:cs="宋体"/>
          <w:spacing w:val="6"/>
          <w:sz w:val="22"/>
          <w:szCs w:val="22"/>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十六、合同生效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1、本合同自甲乙双方法定代表人或委托代理人签字且加盖公章或合同专用章后生效。</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2、自</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月</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日 起 至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年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 xml:space="preserve">月 </w:t>
      </w:r>
      <w:r>
        <w:rPr>
          <w:rFonts w:ascii="宋体" w:hAnsi="宋体" w:eastAsia="宋体" w:cs="宋体"/>
          <w:spacing w:val="6"/>
          <w:sz w:val="22"/>
          <w:szCs w:val="22"/>
          <w:u w:val="single"/>
        </w:rPr>
        <w:t xml:space="preserve"> </w:t>
      </w:r>
      <w:r>
        <w:rPr>
          <w:rFonts w:hint="eastAsia" w:ascii="宋体" w:hAnsi="宋体" w:eastAsia="宋体" w:cs="宋体"/>
          <w:spacing w:val="6"/>
          <w:sz w:val="22"/>
          <w:szCs w:val="22"/>
          <w:u w:val="single"/>
          <w:lang w:val="en-US" w:eastAsia="zh-CN"/>
        </w:rPr>
        <w:t xml:space="preserve"> </w:t>
      </w:r>
      <w:r>
        <w:rPr>
          <w:rFonts w:ascii="宋体" w:hAnsi="宋体" w:eastAsia="宋体" w:cs="宋体"/>
          <w:spacing w:val="6"/>
          <w:sz w:val="22"/>
          <w:szCs w:val="22"/>
          <w:u w:val="single"/>
        </w:rPr>
        <w:t xml:space="preserve"> </w:t>
      </w:r>
      <w:r>
        <w:rPr>
          <w:rFonts w:ascii="宋体" w:hAnsi="宋体" w:eastAsia="宋体" w:cs="宋体"/>
          <w:spacing w:val="6"/>
          <w:sz w:val="22"/>
          <w:szCs w:val="22"/>
        </w:rPr>
        <w:t>日 止 。</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十七、争议解决</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hint="eastAsia" w:ascii="宋体" w:hAnsi="宋体" w:eastAsia="宋体" w:cs="宋体"/>
          <w:spacing w:val="6"/>
          <w:sz w:val="22"/>
          <w:szCs w:val="22"/>
          <w:lang w:eastAsia="zh-CN"/>
        </w:rPr>
      </w:pPr>
      <w:r>
        <w:rPr>
          <w:rFonts w:ascii="宋体" w:hAnsi="宋体" w:eastAsia="宋体" w:cs="宋体"/>
          <w:spacing w:val="6"/>
          <w:sz w:val="22"/>
          <w:szCs w:val="22"/>
        </w:rPr>
        <w:t>甲乙双方在履行本合同过程中发生争议时，应友好协商解决，协商不成时应提交项目所在地人民法院管辖。由违约方承担包括但不限于货款、利息、违约金、损害赔偿金、诉讼费、律师费、保全费、保全担</w:t>
      </w:r>
      <w:r>
        <w:rPr>
          <w:rFonts w:hint="eastAsia" w:ascii="宋体" w:hAnsi="宋体" w:eastAsia="宋体" w:cs="宋体"/>
          <w:spacing w:val="6"/>
          <w:sz w:val="22"/>
          <w:szCs w:val="22"/>
          <w:lang w:eastAsia="zh-CN"/>
        </w:rPr>
        <w:t>保费、鉴定费等一切费用。</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十八、通知与送达</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14"/>
          <w:szCs w:val="14"/>
        </w:rPr>
      </w:pPr>
      <w:r>
        <w:rPr>
          <w:rFonts w:ascii="宋体" w:hAnsi="宋体" w:eastAsia="宋体" w:cs="宋体"/>
          <w:spacing w:val="6"/>
          <w:sz w:val="22"/>
          <w:szCs w:val="22"/>
        </w:rPr>
        <w:t>甲乙双方均确认本合同首页载明的联系电话、联系地址为所有通知、函件、资料等及法院诉讼文书有效送达信息。如果一方联系电话、联系地址发生变更的，应当书面通知对方。甲乙双方一方按上述确认的有效送达信息进行邮寄送达的，因另一方因地址不详、不明、变更等原因被退回或拒收的，在投邮后(以快递单的打印时间为准)第3日将被视为已送达另一方；如另一方已签收的，签收日期为送达日期。</w:t>
      </w:r>
    </w:p>
    <w:p>
      <w:pPr>
        <w:keepNext w:val="0"/>
        <w:keepLines w:val="0"/>
        <w:pageBreakBefore w:val="0"/>
        <w:widowControl/>
        <w:kinsoku w:val="0"/>
        <w:wordWrap/>
        <w:overflowPunct/>
        <w:topLinePunct w:val="0"/>
        <w:autoSpaceDE w:val="0"/>
        <w:autoSpaceDN w:val="0"/>
        <w:bidi w:val="0"/>
        <w:adjustRightInd w:val="0"/>
        <w:snapToGrid w:val="0"/>
        <w:spacing w:before="212" w:line="360" w:lineRule="auto"/>
        <w:ind w:firstLine="759" w:firstLineChars="300"/>
        <w:jc w:val="both"/>
        <w:textAlignment w:val="baseline"/>
        <w:rPr>
          <w:rFonts w:hint="eastAsia" w:ascii="宋体" w:hAnsi="宋体" w:eastAsia="宋体" w:cs="宋体"/>
          <w:b/>
          <w:bCs/>
          <w:spacing w:val="6"/>
          <w:sz w:val="24"/>
          <w:szCs w:val="24"/>
          <w:lang w:eastAsia="zh-CN"/>
        </w:rPr>
      </w:pPr>
      <w:r>
        <w:rPr>
          <w:rFonts w:hint="eastAsia" w:ascii="宋体" w:hAnsi="宋体" w:eastAsia="宋体" w:cs="宋体"/>
          <w:b/>
          <w:bCs/>
          <w:spacing w:val="6"/>
          <w:sz w:val="24"/>
          <w:szCs w:val="24"/>
          <w:lang w:eastAsia="zh-CN"/>
        </w:rPr>
        <w:t>十九、其它</w:t>
      </w:r>
    </w:p>
    <w:p>
      <w:pPr>
        <w:keepNext w:val="0"/>
        <w:keepLines w:val="0"/>
        <w:pageBreakBefore w:val="0"/>
        <w:widowControl/>
        <w:kinsoku w:val="0"/>
        <w:wordWrap/>
        <w:overflowPunct/>
        <w:topLinePunct w:val="0"/>
        <w:autoSpaceDE w:val="0"/>
        <w:autoSpaceDN w:val="0"/>
        <w:bidi w:val="0"/>
        <w:adjustRightInd w:val="0"/>
        <w:snapToGrid w:val="0"/>
        <w:spacing w:before="46" w:line="360" w:lineRule="auto"/>
        <w:ind w:left="283" w:right="255" w:firstLine="464" w:firstLineChars="200"/>
        <w:jc w:val="both"/>
        <w:textAlignment w:val="baseline"/>
        <w:rPr>
          <w:rFonts w:ascii="宋体" w:hAnsi="宋体" w:eastAsia="宋体" w:cs="宋体"/>
          <w:spacing w:val="6"/>
          <w:sz w:val="22"/>
          <w:szCs w:val="22"/>
        </w:rPr>
      </w:pPr>
      <w:r>
        <w:rPr>
          <w:rFonts w:ascii="宋体" w:hAnsi="宋体" w:eastAsia="宋体" w:cs="宋体"/>
          <w:spacing w:val="6"/>
          <w:sz w:val="22"/>
          <w:szCs w:val="22"/>
        </w:rPr>
        <w:t>本合同一式陆份，甲乙双方各执叁份，每份具有同等法律效力。如有未尽事宜，经双方协商后可以书面方式修改或补充，并作为本合同组成部分，书面补充协议与本合同具有同等效力。</w:t>
      </w: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rFonts w:hint="eastAsia" w:ascii="新宋体" w:hAnsi="新宋体" w:eastAsia="新宋体" w:cs="新宋体"/>
          <w:color w:val="auto"/>
          <w:sz w:val="24"/>
          <w:szCs w:val="24"/>
          <w:lang w:val="en-US" w:eastAsia="zh-CN"/>
        </w:rPr>
      </w:pPr>
    </w:p>
    <w:p>
      <w:pPr>
        <w:pStyle w:val="47"/>
        <w:spacing w:line="468" w:lineRule="exact"/>
        <w:ind w:left="520" w:firstLine="300"/>
        <w:jc w:val="both"/>
        <w:rPr>
          <w:color w:val="auto"/>
          <w:sz w:val="21"/>
          <w:szCs w:val="21"/>
          <w:lang w:val="en-US" w:eastAsia="zh-CN"/>
        </w:rPr>
      </w:pPr>
      <w:r>
        <w:rPr>
          <w:rFonts w:hint="eastAsia" w:ascii="新宋体" w:hAnsi="新宋体" w:eastAsia="新宋体" w:cs="新宋体"/>
          <w:color w:val="auto"/>
          <w:sz w:val="24"/>
          <w:szCs w:val="24"/>
          <w:lang w:val="en-US" w:eastAsia="zh-CN"/>
        </w:rPr>
        <w:t>(</w:t>
      </w:r>
      <w:r>
        <w:rPr>
          <w:rFonts w:hint="eastAsia" w:ascii="新宋体" w:hAnsi="新宋体" w:eastAsia="新宋体" w:cs="新宋体"/>
          <w:color w:val="auto"/>
          <w:sz w:val="24"/>
          <w:szCs w:val="24"/>
          <w:lang w:eastAsia="zh-CN"/>
        </w:rPr>
        <w:t>以下为签署页，无正文</w:t>
      </w:r>
      <w:r>
        <w:rPr>
          <w:rFonts w:hint="eastAsia" w:ascii="新宋体" w:hAnsi="新宋体" w:eastAsia="新宋体" w:cs="新宋体"/>
          <w:color w:val="auto"/>
          <w:sz w:val="24"/>
          <w:szCs w:val="24"/>
          <w:lang w:val="en-US" w:eastAsia="zh-CN"/>
        </w:rPr>
        <w:t>)</w:t>
      </w:r>
    </w:p>
    <w:p>
      <w:pPr>
        <w:pStyle w:val="2"/>
        <w:rPr>
          <w:rFonts w:hint="eastAsia"/>
          <w:lang w:eastAsia="zh-CN"/>
        </w:rPr>
      </w:pPr>
    </w:p>
    <w:tbl>
      <w:tblPr>
        <w:tblStyle w:val="24"/>
        <w:tblpPr w:leftFromText="180" w:rightFromText="180" w:vertAnchor="text" w:horzAnchor="page" w:tblpX="785" w:tblpY="32"/>
        <w:tblOverlap w:val="never"/>
        <w:tblW w:w="10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3511"/>
        <w:gridCol w:w="2027"/>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发包人：（公章）</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r>
              <w:rPr>
                <w:rFonts w:hint="eastAsia" w:ascii="宋体" w:hAnsi="宋体" w:eastAsia="宋体" w:cs="宋体"/>
                <w:b/>
                <w:bCs/>
                <w:color w:val="auto"/>
                <w:szCs w:val="21"/>
                <w:lang w:eastAsia="zh-CN"/>
              </w:rPr>
              <w:t>供货</w:t>
            </w:r>
            <w:r>
              <w:rPr>
                <w:rFonts w:hint="eastAsia" w:ascii="宋体" w:hAnsi="宋体" w:eastAsia="宋体" w:cs="宋体"/>
                <w:b/>
                <w:bCs/>
                <w:color w:val="auto"/>
                <w:szCs w:val="21"/>
              </w:rPr>
              <w:t>人：（公章）</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法定代表人：</w:t>
            </w:r>
          </w:p>
          <w:p>
            <w:pPr>
              <w:spacing w:line="0" w:lineRule="atLeast"/>
              <w:rPr>
                <w:rFonts w:ascii="宋体" w:hAnsi="宋体" w:eastAsia="宋体" w:cs="宋体"/>
                <w:b/>
                <w:bCs/>
                <w:color w:val="auto"/>
                <w:szCs w:val="21"/>
              </w:rPr>
            </w:pPr>
            <w:r>
              <w:rPr>
                <w:rFonts w:hint="eastAsia" w:ascii="宋体" w:hAnsi="宋体" w:eastAsia="宋体" w:cs="宋体"/>
                <w:b/>
                <w:bCs/>
                <w:color w:val="auto"/>
                <w:spacing w:val="-20"/>
                <w:szCs w:val="21"/>
              </w:rPr>
              <w:t>(或委托代理人)</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hint="default" w:ascii="宋体" w:hAnsi="宋体" w:eastAsia="宋体" w:cs="宋体"/>
                <w:bCs/>
                <w:color w:val="auto"/>
                <w:szCs w:val="21"/>
                <w:lang w:val="en-US" w:eastAsia="zh-CN"/>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法定代表人：</w:t>
            </w:r>
          </w:p>
          <w:p>
            <w:pPr>
              <w:spacing w:line="0" w:lineRule="atLeast"/>
              <w:rPr>
                <w:rFonts w:ascii="宋体" w:hAnsi="宋体" w:eastAsia="宋体" w:cs="宋体"/>
                <w:b/>
                <w:color w:val="auto"/>
                <w:szCs w:val="21"/>
              </w:rPr>
            </w:pPr>
            <w:r>
              <w:rPr>
                <w:rFonts w:hint="eastAsia" w:ascii="宋体" w:hAnsi="宋体" w:eastAsia="宋体" w:cs="宋体"/>
                <w:b/>
                <w:color w:val="auto"/>
                <w:szCs w:val="21"/>
              </w:rPr>
              <w:t>(或委托代理人)</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rPr>
              <w:t>开户银行：</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开户银行：</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bCs/>
                <w:color w:val="auto"/>
                <w:szCs w:val="21"/>
                <w:lang w:eastAsia="zh-CN"/>
              </w:rPr>
              <w:t>账</w:t>
            </w:r>
            <w:r>
              <w:rPr>
                <w:rFonts w:hint="eastAsia" w:ascii="宋体" w:hAnsi="宋体" w:eastAsia="宋体" w:cs="宋体"/>
                <w:b/>
                <w:bCs/>
                <w:color w:val="auto"/>
                <w:szCs w:val="21"/>
              </w:rPr>
              <w:t>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val="0"/>
                <w:color w:val="auto"/>
                <w:szCs w:val="21"/>
              </w:rPr>
            </w:pP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税号：</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864" w:type="dxa"/>
            <w:tcBorders>
              <w:top w:val="single" w:color="auto" w:sz="4" w:space="0"/>
              <w:left w:val="single" w:color="auto" w:sz="4" w:space="0"/>
              <w:bottom w:val="single" w:color="auto" w:sz="4" w:space="0"/>
              <w:right w:val="single" w:color="auto" w:sz="4" w:space="0"/>
            </w:tcBorders>
            <w:noWrap w:val="0"/>
            <w:vAlign w:val="center"/>
          </w:tcPr>
          <w:p>
            <w:pPr>
              <w:pStyle w:val="20"/>
              <w:widowControl w:val="0"/>
              <w:spacing w:line="0" w:lineRule="atLeast"/>
              <w:ind w:right="653" w:rightChars="311"/>
              <w:jc w:val="distribute"/>
              <w:rPr>
                <w:rFonts w:hint="default" w:eastAsia="宋体" w:cs="宋体"/>
                <w:b/>
                <w:color w:val="auto"/>
                <w:kern w:val="2"/>
                <w:sz w:val="21"/>
                <w:szCs w:val="21"/>
              </w:rPr>
            </w:pPr>
            <w:r>
              <w:rPr>
                <w:rFonts w:eastAsia="宋体" w:cs="宋体"/>
                <w:b/>
                <w:color w:val="auto"/>
                <w:kern w:val="2"/>
                <w:sz w:val="21"/>
                <w:szCs w:val="21"/>
              </w:rPr>
              <w:t>日期：</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年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月  </w:t>
            </w:r>
            <w:r>
              <w:rPr>
                <w:rFonts w:hint="eastAsia" w:ascii="宋体" w:hAnsi="宋体" w:eastAsia="宋体" w:cs="宋体"/>
                <w:b/>
                <w:bCs w:val="0"/>
                <w:color w:val="auto"/>
                <w:szCs w:val="21"/>
                <w:lang w:eastAsia="zh-CN"/>
              </w:rPr>
              <w:t xml:space="preserve">  </w:t>
            </w:r>
            <w:r>
              <w:rPr>
                <w:rFonts w:hint="eastAsia" w:ascii="宋体" w:hAnsi="宋体" w:eastAsia="宋体" w:cs="宋体"/>
                <w:b/>
                <w:bCs w:val="0"/>
                <w:color w:val="auto"/>
                <w:szCs w:val="21"/>
              </w:rPr>
              <w:t xml:space="preserve"> 日</w:t>
            </w:r>
          </w:p>
        </w:tc>
        <w:tc>
          <w:tcPr>
            <w:tcW w:w="202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
                <w:color w:val="auto"/>
                <w:szCs w:val="21"/>
              </w:rPr>
            </w:pPr>
            <w:r>
              <w:rPr>
                <w:rFonts w:hint="eastAsia" w:ascii="宋体" w:hAnsi="宋体" w:eastAsia="宋体" w:cs="宋体"/>
                <w:b/>
                <w:color w:val="auto"/>
                <w:szCs w:val="21"/>
              </w:rPr>
              <w:t>日期：</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pacing w:line="0" w:lineRule="atLeast"/>
              <w:rPr>
                <w:rFonts w:ascii="宋体" w:hAnsi="宋体" w:eastAsia="宋体" w:cs="宋体"/>
                <w:bCs/>
                <w:color w:val="auto"/>
                <w:szCs w:val="21"/>
              </w:rPr>
            </w:pPr>
            <w:r>
              <w:rPr>
                <w:rFonts w:hint="eastAsia" w:ascii="宋体" w:hAnsi="宋体" w:eastAsia="宋体" w:cs="宋体"/>
                <w:bCs/>
                <w:color w:val="auto"/>
                <w:szCs w:val="21"/>
                <w:lang w:eastAsia="zh-CN"/>
              </w:rPr>
              <w:t xml:space="preserve">   </w:t>
            </w:r>
            <w:r>
              <w:rPr>
                <w:rFonts w:ascii="宋体" w:hAnsi="宋体" w:eastAsia="宋体" w:cs="宋体"/>
                <w:bCs/>
                <w:color w:val="auto"/>
                <w:szCs w:val="21"/>
                <w:lang w:eastAsia="zh-CN"/>
              </w:rPr>
              <w:t xml:space="preserve"> </w:t>
            </w:r>
            <w:r>
              <w:rPr>
                <w:rFonts w:hint="eastAsia" w:ascii="宋体" w:hAnsi="宋体" w:eastAsia="宋体" w:cs="宋体"/>
                <w:bCs/>
                <w:color w:val="auto"/>
                <w:szCs w:val="21"/>
                <w:lang w:eastAsia="zh-CN"/>
              </w:rPr>
              <w:t xml:space="preserve"> </w:t>
            </w:r>
            <w:r>
              <w:rPr>
                <w:rFonts w:hint="eastAsia" w:ascii="宋体" w:hAnsi="宋体" w:eastAsia="宋体" w:cs="宋体"/>
                <w:b/>
                <w:bCs w:val="0"/>
                <w:color w:val="auto"/>
                <w:szCs w:val="21"/>
              </w:rPr>
              <w:t>年</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月</w:t>
            </w:r>
            <w:r>
              <w:rPr>
                <w:rFonts w:ascii="宋体" w:hAnsi="宋体" w:eastAsia="宋体" w:cs="宋体"/>
                <w:b/>
                <w:bCs w:val="0"/>
                <w:color w:val="auto"/>
                <w:szCs w:val="21"/>
                <w:lang w:eastAsia="zh-CN"/>
              </w:rPr>
              <w:t xml:space="preserve">    </w:t>
            </w:r>
            <w:r>
              <w:rPr>
                <w:rFonts w:hint="eastAsia" w:ascii="宋体" w:hAnsi="宋体" w:eastAsia="宋体" w:cs="宋体"/>
                <w:b/>
                <w:bCs w:val="0"/>
                <w:color w:val="auto"/>
                <w:szCs w:val="21"/>
              </w:rPr>
              <w:t>日</w:t>
            </w:r>
          </w:p>
        </w:tc>
      </w:tr>
    </w:tbl>
    <w:p>
      <w:pPr>
        <w:pStyle w:val="2"/>
        <w:rPr>
          <w:rFonts w:hint="eastAsia"/>
          <w:lang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44" w:firstLineChars="200"/>
        <w:jc w:val="both"/>
        <w:textAlignment w:val="baseline"/>
        <w:rPr>
          <w:rFonts w:ascii="Arial"/>
          <w:spacing w:val="6"/>
          <w:sz w:val="21"/>
        </w:rPr>
      </w:pPr>
    </w:p>
    <w:p>
      <w:pPr>
        <w:rPr>
          <w:rFonts w:hint="eastAsia" w:ascii="宋体" w:hAnsi="宋体" w:eastAsia="宋体"/>
          <w:sz w:val="24"/>
          <w:szCs w:val="24"/>
          <w:lang w:val="en-US" w:eastAsia="zh-CN"/>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rFonts w:hint="eastAsia"/>
          <w:b/>
          <w:bCs/>
          <w:color w:val="auto"/>
          <w:sz w:val="24"/>
          <w:szCs w:val="24"/>
        </w:rPr>
      </w:pPr>
    </w:p>
    <w:p>
      <w:pPr>
        <w:pStyle w:val="47"/>
        <w:spacing w:after="180" w:line="240" w:lineRule="auto"/>
        <w:ind w:firstLine="482" w:firstLineChars="200"/>
        <w:rPr>
          <w:b/>
          <w:bCs/>
          <w:color w:val="auto"/>
          <w:sz w:val="24"/>
          <w:szCs w:val="24"/>
        </w:rPr>
      </w:pPr>
      <w:r>
        <w:rPr>
          <w:rFonts w:hint="eastAsia"/>
          <w:b/>
          <w:bCs/>
          <w:color w:val="auto"/>
          <w:sz w:val="24"/>
          <w:szCs w:val="24"/>
        </w:rPr>
        <w:t>附件</w:t>
      </w:r>
      <w:r>
        <w:rPr>
          <w:rFonts w:hint="eastAsia"/>
          <w:b/>
          <w:bCs/>
          <w:color w:val="auto"/>
          <w:sz w:val="24"/>
          <w:szCs w:val="24"/>
          <w:lang w:eastAsia="zh-CN"/>
        </w:rPr>
        <w:t>一</w:t>
      </w:r>
    </w:p>
    <w:p>
      <w:pPr>
        <w:spacing w:before="10" w:after="120"/>
        <w:ind w:right="315" w:rightChars="150"/>
        <w:jc w:val="center"/>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47"/>
        <w:spacing w:before="10" w:after="120" w:line="264" w:lineRule="auto"/>
        <w:ind w:left="315" w:leftChars="150" w:right="315" w:rightChars="150" w:firstLine="499"/>
        <w:jc w:val="both"/>
        <w:rPr>
          <w:rFonts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为抓好采购供应中的党风廉政建设，规范、约束双方行为，确保双方工作人员廉洁从业，特订立如下合同。</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eastAsia="zh-CN"/>
        </w:rPr>
      </w:pPr>
      <w:r>
        <w:rPr>
          <w:rFonts w:hint="eastAsia" w:ascii="新宋体" w:hAnsi="新宋体" w:eastAsia="新宋体" w:cs="新宋体"/>
          <w:b/>
          <w:bCs/>
          <w:color w:val="auto"/>
          <w:spacing w:val="6"/>
          <w:sz w:val="24"/>
          <w:szCs w:val="24"/>
          <w:lang w:val="en-US" w:eastAsia="zh-CN"/>
        </w:rPr>
        <w:t>1.</w:t>
      </w:r>
      <w:r>
        <w:rPr>
          <w:rFonts w:hint="eastAsia" w:ascii="新宋体" w:hAnsi="新宋体" w:eastAsia="新宋体" w:cs="新宋体"/>
          <w:b/>
          <w:bCs/>
          <w:color w:val="auto"/>
          <w:spacing w:val="6"/>
          <w:sz w:val="24"/>
          <w:szCs w:val="24"/>
        </w:rPr>
        <w:t>双方的权利和义务</w:t>
      </w:r>
      <w:r>
        <w:rPr>
          <w:rFonts w:hint="eastAsia" w:ascii="新宋体" w:hAnsi="新宋体" w:eastAsia="新宋体" w:cs="新宋体"/>
          <w:b/>
          <w:bCs/>
          <w:color w:val="auto"/>
          <w:spacing w:val="6"/>
          <w:sz w:val="24"/>
          <w:szCs w:val="24"/>
          <w:lang w:eastAsia="zh-CN"/>
        </w:rPr>
        <w:t>：</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（1）严格遵守党的政策和国家有关法律法规的有关规定。</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（2）严格执行</w:t>
      </w:r>
      <w:r>
        <w:rPr>
          <w:rFonts w:hint="eastAsia" w:ascii="宋体" w:hAnsi="宋体" w:eastAsia="宋体" w:cs="宋体"/>
          <w:spacing w:val="6"/>
          <w:kern w:val="2"/>
          <w:sz w:val="22"/>
          <w:szCs w:val="22"/>
          <w:u w:val="single"/>
          <w:lang w:val="en-US" w:eastAsia="zh-CN" w:bidi="ar-SA"/>
        </w:rPr>
        <w:t xml:space="preserve">              </w:t>
      </w:r>
      <w:r>
        <w:rPr>
          <w:rFonts w:hint="eastAsia" w:ascii="宋体" w:hAnsi="宋体" w:eastAsia="宋体" w:cs="宋体"/>
          <w:spacing w:val="6"/>
          <w:kern w:val="2"/>
          <w:sz w:val="22"/>
          <w:szCs w:val="22"/>
          <w:lang w:val="en-US" w:eastAsia="zh-CN" w:bidi="ar-SA"/>
        </w:rPr>
        <w:t>（合同名称）合同文件，自觉按合同办事。</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（3）双方的业务活动坚持公开、公正、诚信、透明的原则（法律认定的商业秘密和合同文件另有规定除外），不得损害国家和集体利益。</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（4）建立健全廉政制度，开展廉政教育和廉洁文化建设，公布举报电话，监督并认真查处违规违纪违法行为。</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（5）发现对方在业务活动中有违反廉政规定的行为，有及时提醒对方纠正的权利和义务。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（6）发现对方严重违反本合同义务条款的行为，有向有关部门举报、建议给予处理并要求告知处理结果的权利。</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2.甲方的义务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新宋体" w:hAnsi="新宋体" w:eastAsia="新宋体" w:cs="新宋体"/>
          <w:color w:val="auto"/>
          <w:spacing w:val="11"/>
          <w:sz w:val="24"/>
          <w:szCs w:val="24"/>
          <w:lang w:eastAsia="zh-CN"/>
        </w:rPr>
        <w:t>（</w:t>
      </w:r>
      <w:r>
        <w:rPr>
          <w:rFonts w:hint="eastAsia" w:ascii="宋体" w:hAnsi="宋体" w:eastAsia="宋体" w:cs="宋体"/>
          <w:spacing w:val="6"/>
          <w:kern w:val="2"/>
          <w:sz w:val="22"/>
          <w:szCs w:val="22"/>
          <w:lang w:val="en-US" w:eastAsia="zh-CN" w:bidi="ar-SA"/>
        </w:rPr>
        <w:t>1）甲方及其工作人员不得利用职务之便索要或接受乙方的礼品、礼金、消费卡和有价证券、股权、其他金融产品等财物。</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（2）甲方及其工作人员不得在利用职务之便为乙方谋利益之前或之后，约定在其离职后收受乙方财物，并在离职后收受。</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（3）甲方及其工作人员不得在乙方报销应由甲方或个人支付的费用等。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（4）甲方及其工作人员不得要求或者接受乙方可能影响公正执行公务的宴请以及旅游、健身、娱乐等活动安排，不得要求和接受乙方提供的交通工具、通讯工具、高档办公用品等。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（6）甲方及其工作人员不得要求乙方购买合同规定外的材料和设备采购、服务等。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（7）甲方及其工作人员不得有其他可能影响廉洁从业的行为。</w:t>
      </w:r>
    </w:p>
    <w:p>
      <w:pPr>
        <w:pStyle w:val="47"/>
        <w:spacing w:before="10" w:after="120" w:line="264" w:lineRule="auto"/>
        <w:ind w:left="105" w:leftChars="50" w:right="315" w:rightChars="150" w:firstLine="500"/>
        <w:jc w:val="both"/>
        <w:rPr>
          <w:rFonts w:hint="eastAsia"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3.乙方义务</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（1）乙方及其工作人员不得以任何形式向甲方及其工作人员行贿或馈赠礼品、礼金、消费卡和有价证券、股权、其他金融产品等财物，以及回扣、好处费、感谢费等。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（2）乙方及其工作人员不得与甲方及其工作人员约定，甲方及其工作人员利用职务之便为乙方谋取利益，乙方在其离职后给予财物。</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3）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（4）乙方及其工作人员不得为甲方工作人员住房装修、婚丧嫁娶、出国出境、旅游等提供方便；不得为甲方工作人员的特定关系人以安排工作为名，使其不实际工作却获取薪酬。</w:t>
      </w:r>
    </w:p>
    <w:p>
      <w:pPr>
        <w:pStyle w:val="47"/>
        <w:spacing w:before="10" w:after="120" w:line="264" w:lineRule="auto"/>
        <w:ind w:left="315" w:leftChars="150" w:right="315" w:rightChars="150" w:firstLine="499"/>
        <w:jc w:val="both"/>
        <w:rPr>
          <w:rFonts w:ascii="新宋体" w:hAnsi="新宋体" w:eastAsia="新宋体" w:cs="新宋体"/>
          <w:color w:val="auto"/>
          <w:spacing w:val="11"/>
          <w:sz w:val="24"/>
          <w:szCs w:val="24"/>
          <w:lang w:eastAsia="zh-CN"/>
        </w:rPr>
      </w:pPr>
      <w:r>
        <w:rPr>
          <w:rFonts w:hint="eastAsia" w:ascii="宋体" w:hAnsi="宋体" w:eastAsia="宋体" w:cs="宋体"/>
          <w:spacing w:val="6"/>
          <w:kern w:val="2"/>
          <w:sz w:val="22"/>
          <w:szCs w:val="22"/>
          <w:lang w:val="en-US" w:eastAsia="zh-CN" w:bidi="ar-SA"/>
        </w:rPr>
        <w:t>（5）甲方及其工作人员不得有其他可能影响廉洁从业的行为。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rPr>
      </w:pPr>
      <w:r>
        <w:rPr>
          <w:rFonts w:hint="eastAsia" w:ascii="新宋体" w:hAnsi="新宋体" w:eastAsia="新宋体" w:cs="新宋体"/>
          <w:b/>
          <w:bCs/>
          <w:color w:val="auto"/>
          <w:spacing w:val="6"/>
          <w:sz w:val="24"/>
          <w:szCs w:val="24"/>
          <w:lang w:val="en-US" w:eastAsia="zh-CN"/>
        </w:rPr>
        <w:t>4.</w:t>
      </w:r>
      <w:r>
        <w:rPr>
          <w:rFonts w:hint="eastAsia" w:ascii="新宋体" w:hAnsi="新宋体" w:eastAsia="新宋体" w:cs="新宋体"/>
          <w:b/>
          <w:bCs/>
          <w:color w:val="auto"/>
          <w:spacing w:val="6"/>
          <w:sz w:val="24"/>
          <w:szCs w:val="24"/>
        </w:rPr>
        <w:t>违约责任</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（1）甲方及其工作人员违反本合同第 1、2 条，按管理权限，依据有关规定给予党纪政务处分和组织处理；涉嫌犯罪的，移交司法机关追究刑事责任；给乙方单位造成经济损失的，应予以赔偿。</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（2）乙方及其工作人员违反本合同第 1、3 条，按管理权限，依据有关规定，给予相关处理；给甲方单位造成经济损失的，应予以赔偿。</w:t>
      </w:r>
    </w:p>
    <w:p>
      <w:pPr>
        <w:pStyle w:val="47"/>
        <w:spacing w:before="10" w:after="120" w:line="264" w:lineRule="auto"/>
        <w:ind w:left="315" w:leftChars="150" w:right="315" w:rightChars="150" w:firstLine="499"/>
        <w:jc w:val="both"/>
        <w:rPr>
          <w:rFonts w:hint="eastAsia" w:ascii="宋体" w:hAnsi="宋体" w:eastAsia="宋体" w:cs="宋体"/>
          <w:spacing w:val="6"/>
          <w:kern w:val="2"/>
          <w:sz w:val="22"/>
          <w:szCs w:val="22"/>
          <w:lang w:val="en-US" w:eastAsia="zh-CN" w:bidi="ar-SA"/>
        </w:rPr>
      </w:pPr>
      <w:r>
        <w:rPr>
          <w:rFonts w:hint="eastAsia" w:ascii="宋体" w:hAnsi="宋体" w:eastAsia="宋体" w:cs="宋体"/>
          <w:spacing w:val="6"/>
          <w:kern w:val="2"/>
          <w:sz w:val="22"/>
          <w:szCs w:val="22"/>
          <w:lang w:val="en-US" w:eastAsia="zh-CN" w:bidi="ar-SA"/>
        </w:rPr>
        <w:t>本合同有效期为双方签署之日起至该供货/服务合同履行完毕后止。</w:t>
      </w:r>
    </w:p>
    <w:p>
      <w:pPr>
        <w:pStyle w:val="47"/>
        <w:spacing w:before="10" w:after="120" w:line="264" w:lineRule="auto"/>
        <w:ind w:left="315" w:leftChars="150" w:right="315" w:rightChars="150" w:firstLine="499"/>
        <w:jc w:val="both"/>
        <w:rPr>
          <w:rFonts w:ascii="新宋体" w:hAnsi="新宋体" w:eastAsia="新宋体" w:cs="新宋体"/>
          <w:color w:val="auto"/>
          <w:spacing w:val="6"/>
          <w:sz w:val="24"/>
          <w:szCs w:val="24"/>
        </w:rPr>
      </w:pPr>
      <w:r>
        <w:rPr>
          <w:rFonts w:hint="eastAsia" w:ascii="宋体" w:hAnsi="宋体" w:eastAsia="宋体" w:cs="宋体"/>
          <w:spacing w:val="6"/>
          <w:kern w:val="2"/>
          <w:sz w:val="22"/>
          <w:szCs w:val="22"/>
          <w:lang w:val="en-US" w:eastAsia="zh-CN" w:bidi="ar-SA"/>
        </w:rPr>
        <w:t>本合同作为</w:t>
      </w:r>
      <w:r>
        <w:rPr>
          <w:rFonts w:hint="eastAsia" w:ascii="宋体" w:hAnsi="宋体" w:eastAsia="宋体" w:cs="宋体"/>
          <w:spacing w:val="6"/>
          <w:kern w:val="2"/>
          <w:sz w:val="22"/>
          <w:szCs w:val="22"/>
          <w:u w:val="single"/>
          <w:lang w:val="en-US" w:eastAsia="zh-CN" w:bidi="ar-SA"/>
        </w:rPr>
        <w:t xml:space="preserve">                    </w:t>
      </w:r>
      <w:r>
        <w:rPr>
          <w:rFonts w:hint="eastAsia" w:ascii="宋体" w:hAnsi="宋体" w:eastAsia="宋体" w:cs="宋体"/>
          <w:spacing w:val="6"/>
          <w:kern w:val="2"/>
          <w:sz w:val="22"/>
          <w:szCs w:val="22"/>
          <w:lang w:val="en-US" w:eastAsia="zh-CN" w:bidi="ar-SA"/>
        </w:rPr>
        <w:t>（合同名称）的附件，与其具有同等的法律效力，经合同双方签署立即生效。</w:t>
      </w: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120" w:line="252" w:lineRule="auto"/>
        <w:ind w:right="420" w:rightChars="200" w:firstLine="0"/>
        <w:jc w:val="both"/>
        <w:rPr>
          <w:rFonts w:ascii="新宋体" w:hAnsi="新宋体" w:eastAsia="新宋体" w:cs="新宋体"/>
          <w:color w:val="auto"/>
          <w:spacing w:val="6"/>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单位：（盖章）</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单位：（盖章）</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法定代表人：</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法定代表人：</w:t>
      </w:r>
    </w:p>
    <w:p>
      <w:pPr>
        <w:pStyle w:val="47"/>
        <w:shd w:val="clear" w:color="auto" w:fill="auto"/>
        <w:spacing w:before="10" w:after="120" w:line="264" w:lineRule="auto"/>
        <w:ind w:right="315" w:rightChars="150" w:firstLine="1021" w:firstLineChars="39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或其授权的代理人：</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或其授权的代理人：</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firstLine="1021" w:firstLineChars="390"/>
        <w:jc w:val="both"/>
        <w:rPr>
          <w:rFonts w:ascii="新宋体" w:hAnsi="新宋体" w:eastAsia="新宋体" w:cs="新宋体"/>
          <w:color w:val="auto"/>
          <w:spacing w:val="6"/>
          <w:sz w:val="28"/>
          <w:szCs w:val="28"/>
        </w:rPr>
        <w:sectPr>
          <w:footerReference r:id="rId6" w:type="default"/>
          <w:pgSz w:w="11910" w:h="16840"/>
          <w:pgMar w:top="1460" w:right="1020" w:bottom="1240" w:left="1200" w:header="0" w:footer="1051" w:gutter="0"/>
          <w:pgNumType w:start="1"/>
          <w:cols w:space="720" w:num="1"/>
        </w:sectPr>
      </w:pP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p>
    <w:bookmarkEnd w:id="53"/>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pPr>
        <w:pStyle w:val="5"/>
        <w:numPr>
          <w:ilvl w:val="0"/>
          <w:numId w:val="0"/>
        </w:numPr>
        <w:spacing w:before="312" w:after="312"/>
        <w:ind w:left="402"/>
        <w:rPr>
          <w:rFonts w:ascii="Times New Roman" w:hAnsi="Times New Roman" w:eastAsia="宋体" w:cs="Times New Roman"/>
        </w:rPr>
      </w:pPr>
      <w:bookmarkStart w:id="54" w:name="_Toc16964"/>
      <w:bookmarkStart w:id="55" w:name="_Toc9151"/>
      <w:bookmarkStart w:id="56" w:name="_Toc776"/>
      <w:r>
        <w:rPr>
          <w:rFonts w:hint="eastAsia" w:ascii="微软雅黑" w:hAnsi="微软雅黑" w:eastAsia="微软雅黑" w:cs="微软雅黑"/>
          <w:b/>
          <w:bCs/>
          <w:kern w:val="0"/>
          <w:sz w:val="32"/>
          <w:szCs w:val="32"/>
          <w:lang w:eastAsia="zh-CN"/>
        </w:rPr>
        <w:t>第五章</w:t>
      </w:r>
      <w:r>
        <w:rPr>
          <w:rFonts w:hint="eastAsia" w:ascii="微软雅黑" w:hAnsi="微软雅黑" w:eastAsia="微软雅黑" w:cs="微软雅黑"/>
          <w:b/>
          <w:bCs/>
          <w:kern w:val="0"/>
          <w:sz w:val="32"/>
          <w:szCs w:val="32"/>
          <w:lang w:val="en-US" w:eastAsia="zh-CN"/>
        </w:rPr>
        <w:t xml:space="preserve"> </w:t>
      </w:r>
      <w:r>
        <w:rPr>
          <w:rFonts w:hint="eastAsia" w:ascii="微软雅黑" w:hAnsi="微软雅黑" w:eastAsia="微软雅黑" w:cs="微软雅黑"/>
          <w:b/>
          <w:bCs/>
          <w:kern w:val="0"/>
          <w:sz w:val="32"/>
          <w:szCs w:val="32"/>
        </w:rPr>
        <w:t>技术标准和要求</w:t>
      </w:r>
      <w:bookmarkEnd w:id="54"/>
      <w:bookmarkEnd w:id="55"/>
      <w:bookmarkEnd w:id="56"/>
    </w:p>
    <w:p>
      <w:pPr>
        <w:pStyle w:val="6"/>
        <w:numPr>
          <w:ilvl w:val="0"/>
          <w:numId w:val="0"/>
        </w:numPr>
        <w:snapToGrid w:val="0"/>
        <w:spacing w:before="120" w:after="120" w:line="240" w:lineRule="auto"/>
        <w:ind w:left="630"/>
        <w:rPr>
          <w:rFonts w:ascii="Times New Roman" w:hAnsi="Times New Roman" w:cs="Times New Roman"/>
        </w:rPr>
      </w:pPr>
      <w:bookmarkStart w:id="57" w:name="_Toc28814_WPSOffice_Level2"/>
      <w:bookmarkStart w:id="58" w:name="_Toc10970_WPSOffice_Level1"/>
      <w:r>
        <w:rPr>
          <w:rFonts w:ascii="Times New Roman" w:hAnsi="Times New Roman" w:cs="Times New Roman"/>
        </w:rPr>
        <w:t>1、</w:t>
      </w:r>
      <w:r>
        <w:rPr>
          <w:rFonts w:hint="eastAsia" w:ascii="Times New Roman" w:hAnsi="Times New Roman" w:cs="Times New Roman"/>
        </w:rPr>
        <w:t>质量标准或技术性能指标要求、验收标准</w:t>
      </w:r>
    </w:p>
    <w:p>
      <w:pPr>
        <w:pStyle w:val="6"/>
        <w:numPr>
          <w:ilvl w:val="0"/>
          <w:numId w:val="0"/>
        </w:numPr>
        <w:snapToGrid w:val="0"/>
        <w:spacing w:before="120"/>
        <w:ind w:left="630"/>
        <w:rPr>
          <w:rFonts w:ascii="Times New Roman" w:hAnsi="Times New Roman" w:cs="Times New Roman"/>
        </w:rPr>
      </w:pPr>
      <w:bookmarkStart w:id="59" w:name="_Toc18078_WPSOffice_Level2"/>
      <w:r>
        <w:rPr>
          <w:rFonts w:hint="eastAsia" w:ascii="Times New Roman" w:hAnsi="Times New Roman" w:cs="Times New Roman"/>
          <w:lang w:val="en-US" w:eastAsia="zh-CN"/>
        </w:rPr>
        <w:t>2</w:t>
      </w:r>
      <w:r>
        <w:rPr>
          <w:rFonts w:ascii="Times New Roman" w:hAnsi="Times New Roman" w:cs="Times New Roman"/>
        </w:rPr>
        <w:t>、</w:t>
      </w:r>
      <w:bookmarkEnd w:id="59"/>
      <w:r>
        <w:rPr>
          <w:rFonts w:hint="eastAsia" w:ascii="Times New Roman" w:hAnsi="Times New Roman" w:cs="Times New Roman"/>
        </w:rPr>
        <w:t>报价清单</w:t>
      </w:r>
      <w:bookmarkEnd w:id="57"/>
      <w:bookmarkEnd w:id="58"/>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ascii="Arial"/>
          <w:b/>
          <w:bCs/>
          <w:spacing w:val="6"/>
          <w:sz w:val="32"/>
          <w:szCs w:val="32"/>
        </w:rPr>
      </w:pPr>
      <w:r>
        <w:rPr>
          <w:rFonts w:hint="eastAsia" w:ascii="Times New Roman" w:hAnsi="Times New Roman" w:cs="Times New Roman"/>
          <w:b/>
          <w:bCs/>
          <w:sz w:val="32"/>
          <w:szCs w:val="32"/>
        </w:rPr>
        <w:t>报价清单</w:t>
      </w:r>
    </w:p>
    <w:tbl>
      <w:tblPr>
        <w:tblStyle w:val="24"/>
        <w:tblW w:w="81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6"/>
        <w:gridCol w:w="1488"/>
        <w:gridCol w:w="1062"/>
        <w:gridCol w:w="1288"/>
        <w:gridCol w:w="1225"/>
        <w:gridCol w:w="787"/>
        <w:gridCol w:w="825"/>
        <w:gridCol w:w="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产品名称</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含钢量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暂定工程量(m³)</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全费用固定综合单价(元/立方米)</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暂定金额(元)</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税率</w:t>
            </w:r>
          </w:p>
        </w:tc>
        <w:tc>
          <w:tcPr>
            <w:tcW w:w="8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PC预制楼梯</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786 </w:t>
            </w:r>
          </w:p>
        </w:tc>
        <w:tc>
          <w:tcPr>
            <w:tcW w:w="1225" w:type="dxa"/>
            <w:vMerge w:val="restart"/>
            <w:tcBorders>
              <w:top w:val="single" w:color="000000" w:sz="4" w:space="0"/>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13%</w:t>
            </w:r>
          </w:p>
        </w:tc>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1"/>
                <w:szCs w:val="21"/>
                <w:u w:val="none"/>
                <w:lang w:val="en-US" w:eastAsia="zh-CN" w:bidi="ar"/>
              </w:rPr>
              <w:t>最终数量以施工图及深 化图为依据，以实际供货数量为准</w:t>
            </w:r>
            <w:r>
              <w:rPr>
                <w:rFonts w:hint="eastAsia" w:ascii="宋体" w:hAnsi="宋体" w:eastAsia="宋体" w:cs="宋体"/>
                <w:i w:val="0"/>
                <w:iCs w:val="0"/>
                <w:snapToGrid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PC预制叠合楼板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140-150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4038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PC预制墙柱</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3020" cy="90170"/>
                  <wp:effectExtent l="0" t="0" r="0" b="0"/>
                  <wp:wrapNone/>
                  <wp:docPr id="16" name="图片_2"/>
                  <wp:cNvGraphicFramePr/>
                  <a:graphic xmlns:a="http://schemas.openxmlformats.org/drawingml/2006/main">
                    <a:graphicData uri="http://schemas.openxmlformats.org/drawingml/2006/picture">
                      <pic:pic xmlns:pic="http://schemas.openxmlformats.org/drawingml/2006/picture">
                        <pic:nvPicPr>
                          <pic:cNvPr id="16" name="图片_2"/>
                          <pic:cNvPicPr/>
                        </pic:nvPicPr>
                        <pic:blipFill>
                          <a:blip r:embed="rId12"/>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60-70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6077 </w:t>
            </w:r>
          </w:p>
        </w:tc>
        <w:tc>
          <w:tcPr>
            <w:tcW w:w="1225" w:type="dxa"/>
            <w:vMerge w:val="continue"/>
            <w:tcBorders>
              <w:left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PC预制空调板</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110-120</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3020" cy="90170"/>
                  <wp:effectExtent l="0" t="0" r="0" b="0"/>
                  <wp:wrapNone/>
                  <wp:docPr id="15" name="图片_4"/>
                  <wp:cNvGraphicFramePr/>
                  <a:graphic xmlns:a="http://schemas.openxmlformats.org/drawingml/2006/main">
                    <a:graphicData uri="http://schemas.openxmlformats.org/drawingml/2006/picture">
                      <pic:pic xmlns:pic="http://schemas.openxmlformats.org/drawingml/2006/picture">
                        <pic:nvPicPr>
                          <pic:cNvPr id="15" name="图片_4"/>
                          <pic:cNvPicPr/>
                        </pic:nvPicPr>
                        <pic:blipFill>
                          <a:blip r:embed="rId13"/>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3020" cy="90170"/>
                  <wp:effectExtent l="0" t="0" r="0" b="0"/>
                  <wp:wrapNone/>
                  <wp:docPr id="14" name="图片_5"/>
                  <wp:cNvGraphicFramePr/>
                  <a:graphic xmlns:a="http://schemas.openxmlformats.org/drawingml/2006/main">
                    <a:graphicData uri="http://schemas.openxmlformats.org/drawingml/2006/picture">
                      <pic:pic xmlns:pic="http://schemas.openxmlformats.org/drawingml/2006/picture">
                        <pic:nvPicPr>
                          <pic:cNvPr id="14" name="图片_5"/>
                          <pic:cNvPicPr/>
                        </pic:nvPicPr>
                        <pic:blipFill>
                          <a:blip r:embed="rId14"/>
                          <a:stretch>
                            <a:fillRect/>
                          </a:stretch>
                        </pic:blipFill>
                        <pic:spPr>
                          <a:xfrm>
                            <a:off x="0" y="0"/>
                            <a:ext cx="33020" cy="90170"/>
                          </a:xfrm>
                          <a:prstGeom prst="rect">
                            <a:avLst/>
                          </a:prstGeom>
                          <a:noFill/>
                          <a:ln>
                            <a:noFill/>
                          </a:ln>
                        </pic:spPr>
                      </pic:pic>
                    </a:graphicData>
                  </a:graphic>
                </wp:anchor>
              </w:drawing>
            </w:r>
            <w:r>
              <w:rPr>
                <w:rFonts w:hint="eastAsia" w:ascii="宋体" w:hAnsi="宋体" w:eastAsia="宋体" w:cs="宋体"/>
                <w:i w:val="0"/>
                <w:iCs w:val="0"/>
                <w:snapToGrid w:val="0"/>
                <w:color w:val="000000"/>
                <w:kern w:val="0"/>
                <w:sz w:val="22"/>
                <w:szCs w:val="22"/>
                <w:u w:val="none"/>
                <w:lang w:val="en-US" w:eastAsia="zh-CN" w:bidi="ar"/>
              </w:rPr>
              <w:t xml:space="preserve">294 </w:t>
            </w:r>
          </w:p>
        </w:tc>
        <w:tc>
          <w:tcPr>
            <w:tcW w:w="1225" w:type="dxa"/>
            <w:vMerge w:val="continue"/>
            <w:tcBorders>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iCs w:val="0"/>
                <w:color w:val="000000"/>
                <w:sz w:val="22"/>
                <w:szCs w:val="22"/>
                <w:u w:val="none"/>
              </w:rPr>
            </w:pPr>
          </w:p>
        </w:tc>
        <w:tc>
          <w:tcPr>
            <w:tcW w:w="787"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6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合价</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11195</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w:t>
            </w:r>
          </w:p>
        </w:tc>
        <w:tc>
          <w:tcPr>
            <w:tcW w:w="7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5"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bl>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15"/>
          <w:szCs w:val="15"/>
        </w:rPr>
      </w:pPr>
    </w:p>
    <w:p>
      <w:pPr>
        <w:keepNext w:val="0"/>
        <w:keepLines w:val="0"/>
        <w:pageBreakBefore w:val="0"/>
        <w:widowControl/>
        <w:kinsoku w:val="0"/>
        <w:wordWrap/>
        <w:overflowPunct/>
        <w:topLinePunct w:val="0"/>
        <w:autoSpaceDE w:val="0"/>
        <w:autoSpaceDN w:val="0"/>
        <w:bidi w:val="0"/>
        <w:adjustRightInd w:val="0"/>
        <w:snapToGrid w:val="0"/>
        <w:spacing w:before="49" w:line="360" w:lineRule="auto"/>
        <w:jc w:val="both"/>
        <w:textAlignment w:val="baseline"/>
        <w:rPr>
          <w:rFonts w:ascii="宋体" w:hAnsi="宋体" w:eastAsia="宋体" w:cs="宋体"/>
          <w:spacing w:val="6"/>
          <w:sz w:val="21"/>
          <w:szCs w:val="21"/>
        </w:rPr>
      </w:pPr>
      <w:r>
        <w:rPr>
          <w:rFonts w:ascii="宋体" w:hAnsi="宋体" w:eastAsia="宋体" w:cs="宋体"/>
          <w:spacing w:val="6"/>
          <w:sz w:val="21"/>
          <w:szCs w:val="21"/>
        </w:rPr>
        <w:t>(注：以上</w:t>
      </w:r>
      <w:r>
        <w:rPr>
          <w:rFonts w:hint="eastAsia" w:ascii="宋体" w:hAnsi="宋体" w:eastAsia="宋体" w:cs="宋体"/>
          <w:spacing w:val="6"/>
          <w:sz w:val="21"/>
          <w:szCs w:val="21"/>
          <w:lang w:val="en-US" w:eastAsia="zh-CN"/>
        </w:rPr>
        <w:t>产品名称和</w:t>
      </w:r>
      <w:r>
        <w:rPr>
          <w:rFonts w:ascii="宋体" w:hAnsi="宋体" w:eastAsia="宋体" w:cs="宋体"/>
          <w:spacing w:val="6"/>
          <w:sz w:val="21"/>
          <w:szCs w:val="21"/>
        </w:rPr>
        <w:t>工程量为暂定量，</w:t>
      </w:r>
      <w:r>
        <w:rPr>
          <w:rFonts w:hint="eastAsia" w:ascii="宋体" w:hAnsi="宋体" w:eastAsia="宋体" w:cs="宋体"/>
          <w:spacing w:val="6"/>
          <w:sz w:val="21"/>
          <w:szCs w:val="21"/>
          <w:lang w:eastAsia="zh-CN"/>
        </w:rPr>
        <w:t>最终以深化</w:t>
      </w:r>
      <w:r>
        <w:rPr>
          <w:rFonts w:ascii="宋体" w:hAnsi="宋体" w:eastAsia="宋体" w:cs="宋体"/>
          <w:spacing w:val="6"/>
          <w:sz w:val="21"/>
          <w:szCs w:val="21"/>
        </w:rPr>
        <w:t>图纸数量</w:t>
      </w:r>
      <w:r>
        <w:rPr>
          <w:rFonts w:hint="eastAsia" w:ascii="宋体" w:hAnsi="宋体" w:eastAsia="宋体" w:cs="宋体"/>
          <w:spacing w:val="6"/>
          <w:sz w:val="21"/>
          <w:szCs w:val="21"/>
          <w:lang w:eastAsia="zh-CN"/>
        </w:rPr>
        <w:t>并</w:t>
      </w:r>
      <w:r>
        <w:rPr>
          <w:rFonts w:ascii="宋体" w:hAnsi="宋体" w:eastAsia="宋体" w:cs="宋体"/>
          <w:spacing w:val="6"/>
          <w:sz w:val="21"/>
          <w:szCs w:val="21"/>
        </w:rPr>
        <w:t>结合乙方实际供货量据实结算)</w:t>
      </w:r>
    </w:p>
    <w:p>
      <w:pPr>
        <w:rPr>
          <w:highlight w:val="red"/>
        </w:rPr>
        <w:sectPr>
          <w:footerReference r:id="rId7" w:type="default"/>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ascii="Times New Roman" w:hAnsi="Times New Roman" w:eastAsia="宋体" w:cs="Times New Roman"/>
          <w:highlight w:val="red"/>
        </w:rPr>
        <w:br w:type="page"/>
      </w:r>
    </w:p>
    <w:p>
      <w:pPr>
        <w:widowControl/>
        <w:numPr>
          <w:ilvl w:val="0"/>
          <w:numId w:val="4"/>
        </w:numPr>
        <w:jc w:val="center"/>
        <w:outlineLvl w:val="0"/>
        <w:rPr>
          <w:rFonts w:ascii="微软雅黑" w:hAnsi="微软雅黑" w:eastAsia="微软雅黑" w:cs="微软雅黑"/>
          <w:b/>
          <w:bCs/>
          <w:sz w:val="32"/>
          <w:szCs w:val="32"/>
        </w:rPr>
      </w:pPr>
      <w:r>
        <w:rPr>
          <w:rFonts w:hint="eastAsia" w:ascii="Times New Roman" w:hAnsi="Times New Roman" w:eastAsia="宋体" w:cs="Times New Roman"/>
        </w:rPr>
        <w:t xml:space="preserve"> </w:t>
      </w:r>
      <w:r>
        <w:rPr>
          <w:rFonts w:hint="eastAsia" w:ascii="微软雅黑" w:hAnsi="微软雅黑" w:eastAsia="微软雅黑" w:cs="微软雅黑"/>
          <w:b/>
          <w:bCs/>
          <w:sz w:val="32"/>
          <w:szCs w:val="32"/>
        </w:rPr>
        <w:t xml:space="preserve"> </w:t>
      </w:r>
      <w:bookmarkStart w:id="60" w:name="_Toc1247"/>
      <w:r>
        <w:rPr>
          <w:rFonts w:hint="eastAsia" w:ascii="微软雅黑" w:hAnsi="微软雅黑" w:eastAsia="微软雅黑" w:cs="微软雅黑"/>
          <w:b/>
          <w:bCs/>
          <w:sz w:val="32"/>
          <w:szCs w:val="32"/>
        </w:rPr>
        <w:t>投标文件格式</w:t>
      </w:r>
      <w:bookmarkEnd w:id="60"/>
    </w:p>
    <w:p>
      <w:pPr>
        <w:pStyle w:val="5"/>
        <w:numPr>
          <w:ilvl w:val="0"/>
          <w:numId w:val="0"/>
        </w:numPr>
        <w:spacing w:before="312" w:after="312"/>
        <w:ind w:left="402"/>
        <w:jc w:val="center"/>
        <w:rPr>
          <w:rFonts w:ascii="Times New Roman" w:hAnsi="Times New Roman" w:eastAsia="宋体" w:cs="Times New Roman"/>
        </w:rPr>
      </w:pPr>
    </w:p>
    <w:p>
      <w:pPr>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3"/>
        <w:rPr>
          <w:rFonts w:ascii="Times New Roman" w:hAnsi="Times New Roman" w:eastAsia="宋体" w:cs="Times New Roman"/>
        </w:rPr>
      </w:pPr>
    </w:p>
    <w:p>
      <w:pPr>
        <w:pStyle w:val="13"/>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4"/>
        </w:rPr>
      </w:pP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rPr>
        <w:t>(项目名称)</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61" w:name="_Toc1914_WPSOffice_Level1"/>
      <w:bookmarkStart w:id="62" w:name="_Toc12792"/>
      <w:bookmarkStart w:id="63" w:name="_Toc10971"/>
      <w:bookmarkStart w:id="64" w:name="_Toc6393_WPSOffice_Level1"/>
      <w:bookmarkStart w:id="65" w:name="_Toc17394_WPSOffice_Level1"/>
      <w:bookmarkStart w:id="66" w:name="_Toc27552_WPSOffice_Level1"/>
      <w:bookmarkStart w:id="67" w:name="_Toc16966_WPSOffice_Level1"/>
      <w:bookmarkStart w:id="68" w:name="_Toc1870"/>
      <w:bookmarkStart w:id="69" w:name="_Toc5145_WPSOffice_Level1"/>
      <w:r>
        <w:rPr>
          <w:rFonts w:ascii="Times New Roman" w:hAnsi="Times New Roman" w:eastAsia="黑体" w:cs="Times New Roman"/>
          <w:sz w:val="50"/>
          <w:szCs w:val="50"/>
        </w:rPr>
        <w:t>响  应  文  件</w:t>
      </w:r>
      <w:bookmarkEnd w:id="61"/>
      <w:bookmarkEnd w:id="62"/>
      <w:bookmarkEnd w:id="63"/>
      <w:bookmarkEnd w:id="64"/>
      <w:bookmarkEnd w:id="65"/>
      <w:bookmarkEnd w:id="66"/>
      <w:bookmarkEnd w:id="67"/>
      <w:bookmarkEnd w:id="68"/>
      <w:bookmarkEnd w:id="6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70" w:name="_Toc25232_WPSOffice_Level2"/>
      <w:bookmarkStart w:id="7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(全称、盖单位章)</w:t>
      </w:r>
      <w:bookmarkEnd w:id="70"/>
      <w:bookmarkEnd w:id="7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bookmarkStart w:id="72" w:name="_Toc20076_WPSOffice_Level2"/>
      <w:bookmarkStart w:id="73" w:name="_Toc31577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hint="eastAsia" w:ascii="Times New Roman" w:hAnsi="Times New Roman" w:eastAsia="黑体" w:cs="Times New Roman"/>
          <w:sz w:val="28"/>
          <w:szCs w:val="28"/>
          <w:u w:val="single"/>
          <w:lang w:val="en-US" w:eastAsia="zh-CN"/>
        </w:rPr>
        <w:t xml:space="preserve"> </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72"/>
      <w:bookmarkEnd w:id="73"/>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74" w:name="_Toc21974_WPSOffice_Level2"/>
      <w:bookmarkStart w:id="75" w:name="_Toc22351_WPSOffice_Level2"/>
      <w:r>
        <w:rPr>
          <w:rFonts w:ascii="Times New Roman" w:hAnsi="Times New Roman" w:eastAsia="黑体" w:cs="Times New Roman"/>
          <w:sz w:val="28"/>
          <w:szCs w:val="28"/>
        </w:rPr>
        <w:t>目     录</w:t>
      </w:r>
      <w:bookmarkEnd w:id="74"/>
      <w:bookmarkEnd w:id="75"/>
    </w:p>
    <w:p>
      <w:pPr>
        <w:spacing w:line="440" w:lineRule="exact"/>
        <w:rPr>
          <w:rFonts w:ascii="Times New Roman" w:hAnsi="Times New Roman" w:eastAsia="黑体" w:cs="Times New Roman"/>
          <w:sz w:val="20"/>
          <w:szCs w:val="20"/>
        </w:rPr>
      </w:pPr>
    </w:p>
    <w:p>
      <w:pPr>
        <w:spacing w:line="480" w:lineRule="auto"/>
        <w:ind w:left="1619" w:leftChars="771"/>
        <w:outlineLvl w:val="0"/>
        <w:rPr>
          <w:rFonts w:ascii="Times New Roman" w:hAnsi="Times New Roman" w:eastAsia="黑体" w:cs="Times New Roman"/>
          <w:sz w:val="24"/>
        </w:rPr>
      </w:pPr>
      <w:bookmarkStart w:id="76" w:name="_Toc9380_WPSOffice_Level1"/>
      <w:bookmarkStart w:id="77" w:name="_Toc30529_WPSOffice_Level1"/>
      <w:bookmarkStart w:id="78" w:name="_Toc11424_WPSOffice_Level1"/>
      <w:bookmarkStart w:id="79" w:name="_Toc1610"/>
      <w:bookmarkStart w:id="80" w:name="_Toc6353_WPSOffice_Level1"/>
      <w:bookmarkStart w:id="81" w:name="_Toc12698_WPSOffice_Level1"/>
      <w:bookmarkStart w:id="82" w:name="_Toc2934"/>
      <w:bookmarkStart w:id="83" w:name="_Toc24319"/>
      <w:bookmarkStart w:id="84" w:name="_Toc23368_WPSOffice_Level1"/>
      <w:bookmarkStart w:id="85" w:name="_Toc12670_WPSOffice_Level1"/>
      <w:r>
        <w:rPr>
          <w:rFonts w:ascii="Times New Roman" w:hAnsi="Times New Roman" w:eastAsia="黑体" w:cs="Times New Roman"/>
          <w:sz w:val="24"/>
        </w:rPr>
        <w:t>一、报价函</w:t>
      </w:r>
      <w:bookmarkEnd w:id="76"/>
      <w:bookmarkEnd w:id="77"/>
      <w:bookmarkEnd w:id="78"/>
      <w:bookmarkEnd w:id="79"/>
      <w:bookmarkEnd w:id="80"/>
      <w:bookmarkEnd w:id="81"/>
      <w:bookmarkEnd w:id="82"/>
      <w:bookmarkEnd w:id="83"/>
      <w:bookmarkEnd w:id="84"/>
    </w:p>
    <w:p>
      <w:pPr>
        <w:spacing w:line="480" w:lineRule="auto"/>
        <w:ind w:left="1619" w:leftChars="771"/>
        <w:outlineLvl w:val="0"/>
        <w:rPr>
          <w:rFonts w:ascii="Times New Roman" w:hAnsi="Times New Roman" w:eastAsia="黑体" w:cs="Times New Roman"/>
          <w:sz w:val="24"/>
        </w:rPr>
      </w:pPr>
      <w:bookmarkStart w:id="86" w:name="_Toc5750"/>
      <w:bookmarkStart w:id="87" w:name="_Toc7332_WPSOffice_Level1"/>
      <w:bookmarkStart w:id="88" w:name="_Toc12526"/>
      <w:bookmarkStart w:id="89" w:name="_Toc21229_WPSOffice_Level1"/>
      <w:bookmarkStart w:id="90" w:name="_Toc24078"/>
      <w:bookmarkStart w:id="91" w:name="_Toc32729_WPSOffice_Level1"/>
      <w:bookmarkStart w:id="92" w:name="_Toc5317_WPSOffice_Level1"/>
      <w:bookmarkStart w:id="93" w:name="_Toc31927_WPSOffice_Level1"/>
      <w:bookmarkStart w:id="94" w:name="_Toc11323_WPSOffice_Level1"/>
      <w:r>
        <w:rPr>
          <w:rFonts w:ascii="Times New Roman" w:hAnsi="Times New Roman" w:eastAsia="黑体" w:cs="Times New Roman"/>
          <w:sz w:val="24"/>
        </w:rPr>
        <w:t>二、法定代表人身份证明及授权委托书</w:t>
      </w:r>
      <w:bookmarkEnd w:id="86"/>
      <w:bookmarkEnd w:id="87"/>
      <w:bookmarkEnd w:id="88"/>
      <w:bookmarkEnd w:id="89"/>
      <w:bookmarkEnd w:id="90"/>
      <w:bookmarkEnd w:id="91"/>
      <w:bookmarkEnd w:id="92"/>
      <w:bookmarkEnd w:id="93"/>
      <w:bookmarkEnd w:id="94"/>
    </w:p>
    <w:p>
      <w:pPr>
        <w:spacing w:line="480" w:lineRule="auto"/>
        <w:ind w:left="1619" w:leftChars="771"/>
        <w:outlineLvl w:val="0"/>
        <w:rPr>
          <w:rFonts w:ascii="Times New Roman" w:hAnsi="Times New Roman" w:eastAsia="黑体" w:cs="Times New Roman"/>
          <w:sz w:val="24"/>
        </w:rPr>
      </w:pPr>
      <w:bookmarkStart w:id="95" w:name="_Toc23744_WPSOffice_Level1"/>
      <w:bookmarkStart w:id="96" w:name="_Toc10608_WPSOffice_Level1"/>
      <w:bookmarkStart w:id="97" w:name="_Toc7453_WPSOffice_Level1"/>
      <w:bookmarkStart w:id="98" w:name="_Toc18964_WPSOffice_Level1"/>
      <w:bookmarkStart w:id="99" w:name="_Toc15914"/>
      <w:bookmarkStart w:id="100" w:name="_Toc7494"/>
      <w:bookmarkStart w:id="101" w:name="_Toc24557"/>
      <w:bookmarkStart w:id="102" w:name="_Toc28707_WPSOffice_Level1"/>
      <w:bookmarkStart w:id="103" w:name="_Toc27561_WPSOffice_Level1"/>
      <w:r>
        <w:rPr>
          <w:rFonts w:hint="eastAsia" w:ascii="Times New Roman" w:hAnsi="Times New Roman" w:eastAsia="黑体" w:cs="Times New Roman"/>
          <w:sz w:val="24"/>
          <w:lang w:val="en-US" w:eastAsia="zh-CN"/>
        </w:rPr>
        <w:t>三</w:t>
      </w:r>
      <w:r>
        <w:rPr>
          <w:rFonts w:ascii="Times New Roman" w:hAnsi="Times New Roman" w:eastAsia="黑体" w:cs="Times New Roman"/>
          <w:sz w:val="24"/>
        </w:rPr>
        <w:t>、</w:t>
      </w:r>
      <w:bookmarkEnd w:id="95"/>
      <w:bookmarkEnd w:id="96"/>
      <w:bookmarkEnd w:id="97"/>
      <w:bookmarkEnd w:id="98"/>
      <w:r>
        <w:rPr>
          <w:rFonts w:hint="eastAsia" w:ascii="Times New Roman" w:hAnsi="Times New Roman" w:eastAsia="黑体" w:cs="Times New Roman"/>
          <w:sz w:val="24"/>
        </w:rPr>
        <w:t>供应商基本情况</w:t>
      </w:r>
      <w:bookmarkEnd w:id="99"/>
      <w:bookmarkEnd w:id="100"/>
      <w:bookmarkEnd w:id="101"/>
      <w:bookmarkEnd w:id="102"/>
      <w:bookmarkEnd w:id="103"/>
    </w:p>
    <w:p>
      <w:pPr>
        <w:spacing w:line="480" w:lineRule="auto"/>
        <w:ind w:left="1619" w:leftChars="771"/>
        <w:outlineLvl w:val="0"/>
        <w:rPr>
          <w:rFonts w:ascii="Times New Roman" w:hAnsi="Times New Roman" w:eastAsia="黑体" w:cs="Times New Roman"/>
          <w:sz w:val="24"/>
        </w:rPr>
      </w:pPr>
      <w:bookmarkStart w:id="104" w:name="_Toc24262_WPSOffice_Level1"/>
      <w:bookmarkStart w:id="105" w:name="_Toc15888"/>
      <w:bookmarkStart w:id="106" w:name="_Toc12991_WPSOffice_Level1"/>
      <w:bookmarkStart w:id="107" w:name="_Toc8129"/>
      <w:bookmarkStart w:id="108" w:name="_Toc25872"/>
      <w:bookmarkStart w:id="109" w:name="_Toc17211_WPSOffice_Level1"/>
      <w:bookmarkStart w:id="110" w:name="_Toc12459_WPSOffice_Level1"/>
      <w:bookmarkStart w:id="111" w:name="_Toc24082_WPSOffice_Level1"/>
      <w:bookmarkStart w:id="112" w:name="_Toc31314_WPSOffice_Level1"/>
      <w:r>
        <w:rPr>
          <w:rFonts w:hint="eastAsia" w:ascii="Times New Roman" w:hAnsi="Times New Roman" w:eastAsia="黑体" w:cs="Times New Roman"/>
          <w:sz w:val="24"/>
          <w:lang w:val="en-US" w:eastAsia="zh-CN"/>
        </w:rPr>
        <w:t>四</w:t>
      </w:r>
      <w:r>
        <w:rPr>
          <w:rFonts w:ascii="Times New Roman" w:hAnsi="Times New Roman" w:eastAsia="黑体" w:cs="Times New Roman"/>
          <w:sz w:val="24"/>
        </w:rPr>
        <w:t>、已标价</w:t>
      </w:r>
      <w:r>
        <w:rPr>
          <w:rFonts w:hint="eastAsia" w:ascii="Times New Roman" w:hAnsi="Times New Roman" w:eastAsia="黑体" w:cs="Times New Roman"/>
          <w:sz w:val="24"/>
        </w:rPr>
        <w:t>的报价清单</w:t>
      </w:r>
    </w:p>
    <w:bookmarkEnd w:id="104"/>
    <w:bookmarkEnd w:id="105"/>
    <w:bookmarkEnd w:id="106"/>
    <w:bookmarkEnd w:id="107"/>
    <w:bookmarkEnd w:id="108"/>
    <w:bookmarkEnd w:id="109"/>
    <w:bookmarkEnd w:id="110"/>
    <w:bookmarkEnd w:id="111"/>
    <w:bookmarkEnd w:id="112"/>
    <w:p>
      <w:pPr>
        <w:spacing w:line="480" w:lineRule="auto"/>
        <w:ind w:left="1619" w:leftChars="771"/>
        <w:outlineLvl w:val="0"/>
        <w:rPr>
          <w:rFonts w:hint="eastAsia" w:ascii="Times New Roman" w:hAnsi="Times New Roman" w:eastAsia="黑体" w:cs="Times New Roman"/>
          <w:sz w:val="24"/>
          <w:lang w:val="en-US" w:eastAsia="zh-CN"/>
        </w:rPr>
      </w:pPr>
      <w:bookmarkStart w:id="113" w:name="_Toc5885_WPSOffice_Level1"/>
      <w:bookmarkStart w:id="114" w:name="_Toc19723"/>
      <w:bookmarkStart w:id="115" w:name="_Toc24610"/>
      <w:bookmarkStart w:id="116" w:name="_Toc77"/>
      <w:bookmarkStart w:id="117" w:name="_Toc16988_WPSOffice_Level1"/>
      <w:bookmarkStart w:id="118" w:name="_Toc6528_WPSOffice_Level1"/>
      <w:bookmarkStart w:id="119" w:name="_Toc15668_WPSOffice_Level1"/>
      <w:r>
        <w:rPr>
          <w:rFonts w:hint="eastAsia" w:ascii="Times New Roman" w:hAnsi="Times New Roman" w:eastAsia="黑体" w:cs="Times New Roman"/>
          <w:sz w:val="24"/>
          <w:lang w:val="en-US" w:eastAsia="zh-CN"/>
        </w:rPr>
        <w:t>五、</w:t>
      </w:r>
      <w:bookmarkEnd w:id="85"/>
      <w:bookmarkEnd w:id="113"/>
      <w:bookmarkEnd w:id="114"/>
      <w:bookmarkEnd w:id="115"/>
      <w:bookmarkEnd w:id="116"/>
      <w:bookmarkEnd w:id="117"/>
      <w:bookmarkEnd w:id="118"/>
      <w:bookmarkEnd w:id="119"/>
      <w:r>
        <w:rPr>
          <w:rFonts w:hint="eastAsia" w:ascii="Times New Roman" w:hAnsi="Times New Roman" w:eastAsia="黑体" w:cs="Times New Roman"/>
          <w:sz w:val="24"/>
          <w:lang w:val="en-US" w:eastAsia="zh-CN"/>
        </w:rPr>
        <w:t>供货方案</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六、业绩证明材料</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七、生产线保障措施</w:t>
      </w:r>
    </w:p>
    <w:p>
      <w:pPr>
        <w:spacing w:line="480" w:lineRule="auto"/>
        <w:ind w:left="1619" w:leftChars="771"/>
        <w:outlineLvl w:val="0"/>
        <w:rPr>
          <w:rFonts w:hint="eastAsia" w:ascii="Times New Roman" w:hAnsi="Times New Roman" w:eastAsia="黑体" w:cs="Times New Roman"/>
          <w:sz w:val="24"/>
          <w:lang w:val="en-US" w:eastAsia="zh-CN"/>
        </w:rPr>
      </w:pPr>
      <w:r>
        <w:rPr>
          <w:rFonts w:hint="eastAsia" w:ascii="Times New Roman" w:hAnsi="Times New Roman" w:eastAsia="黑体" w:cs="Times New Roman"/>
          <w:sz w:val="24"/>
          <w:lang w:val="en-US" w:eastAsia="zh-CN"/>
        </w:rPr>
        <w:t>八、其他材料</w:t>
      </w:r>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0" w:name="_Toc1924"/>
      <w:bookmarkStart w:id="121" w:name="_Toc29399_WPSOffice_Level1"/>
      <w:bookmarkStart w:id="122" w:name="_Toc1687_WPSOffice_Level1"/>
      <w:bookmarkStart w:id="123" w:name="_Toc2765_WPSOffice_Level1"/>
      <w:bookmarkStart w:id="124" w:name="_Toc30031_WPSOffice_Level1"/>
      <w:bookmarkStart w:id="125" w:name="_Toc8703"/>
      <w:bookmarkStart w:id="126" w:name="_Toc18312_WPSOffice_Level1"/>
      <w:bookmarkStart w:id="127" w:name="_Toc23583"/>
      <w:bookmarkStart w:id="128" w:name="_Toc24269_WPSOffice_Level1"/>
      <w:bookmarkStart w:id="129" w:name="_Toc11805_WPSOffice_Level1"/>
      <w:r>
        <w:rPr>
          <w:rFonts w:ascii="Times New Roman" w:hAnsi="Times New Roman" w:eastAsia="黑体" w:cs="Times New Roman"/>
          <w:sz w:val="28"/>
          <w:szCs w:val="28"/>
        </w:rPr>
        <w:t>一、报价函</w:t>
      </w:r>
      <w:bookmarkEnd w:id="120"/>
      <w:bookmarkEnd w:id="121"/>
      <w:bookmarkEnd w:id="122"/>
      <w:bookmarkEnd w:id="123"/>
      <w:bookmarkEnd w:id="124"/>
      <w:bookmarkEnd w:id="125"/>
      <w:bookmarkEnd w:id="126"/>
      <w:bookmarkEnd w:id="127"/>
      <w:bookmarkEnd w:id="128"/>
      <w:bookmarkEnd w:id="129"/>
    </w:p>
    <w:p>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Cs w:val="22"/>
          <w:u w:val="single"/>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我方已仔细研究了</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中所述的各种因素）和对现场的踏勘及充分了解，</w:t>
      </w:r>
      <w:r>
        <w:rPr>
          <w:rFonts w:ascii="Times New Roman" w:hAnsi="Times New Roman" w:cs="Times New Roman"/>
          <w:color w:val="FF0000"/>
          <w:sz w:val="24"/>
        </w:rPr>
        <w:t>愿意以人民币（大写）</w:t>
      </w:r>
      <w:r>
        <w:rPr>
          <w:rFonts w:hint="eastAsia" w:ascii="Times New Roman" w:hAnsi="Times New Roman" w:cs="Times New Roman"/>
          <w:color w:val="FF0000"/>
          <w:sz w:val="24"/>
          <w:lang w:val="en-US" w:eastAsia="zh-CN"/>
        </w:rPr>
        <w:t xml:space="preserve"> </w:t>
      </w:r>
      <w:r>
        <w:rPr>
          <w:rFonts w:ascii="Times New Roman" w:hAnsi="Times New Roman" w:cs="Times New Roman"/>
          <w:color w:val="FF0000"/>
          <w:sz w:val="24"/>
          <w:u w:val="single"/>
        </w:rPr>
        <w:t xml:space="preserve"> </w:t>
      </w:r>
      <w:r>
        <w:rPr>
          <w:rFonts w:hint="eastAsia" w:ascii="Times New Roman" w:hAnsi="Times New Roman" w:cs="Times New Roman"/>
          <w:color w:val="FF0000"/>
          <w:sz w:val="24"/>
          <w:u w:val="single"/>
          <w:lang w:val="en-US" w:eastAsia="zh-CN"/>
        </w:rPr>
        <w:t xml:space="preserve">     </w:t>
      </w:r>
      <w:r>
        <w:rPr>
          <w:rFonts w:ascii="Times New Roman" w:hAnsi="Times New Roman" w:cs="Times New Roman"/>
          <w:color w:val="FF0000"/>
          <w:sz w:val="24"/>
          <w:u w:val="single"/>
        </w:rPr>
        <w:t xml:space="preserve">  </w:t>
      </w:r>
      <w:r>
        <w:rPr>
          <w:rFonts w:ascii="Times New Roman" w:hAnsi="Times New Roman" w:cs="Times New Roman"/>
          <w:color w:val="FF0000"/>
          <w:sz w:val="24"/>
        </w:rPr>
        <w:t>元（￥</w:t>
      </w:r>
      <w:r>
        <w:rPr>
          <w:rFonts w:ascii="Times New Roman" w:hAnsi="Times New Roman" w:cs="Times New Roman"/>
          <w:color w:val="FF0000"/>
          <w:sz w:val="24"/>
          <w:u w:val="single"/>
        </w:rPr>
        <w:t xml:space="preserve"> </w:t>
      </w:r>
      <w:r>
        <w:rPr>
          <w:rFonts w:hint="eastAsia" w:ascii="Times New Roman" w:hAnsi="Times New Roman" w:cs="Times New Roman"/>
          <w:color w:val="FF0000"/>
          <w:sz w:val="24"/>
          <w:u w:val="single"/>
          <w:lang w:val="en-US" w:eastAsia="zh-CN"/>
        </w:rPr>
        <w:t xml:space="preserve">        元/立方米    </w:t>
      </w:r>
      <w:r>
        <w:rPr>
          <w:rFonts w:ascii="Times New Roman" w:hAnsi="Times New Roman" w:cs="Times New Roman"/>
          <w:color w:val="FF0000"/>
          <w:sz w:val="24"/>
          <w:u w:val="single"/>
        </w:rPr>
        <w:t xml:space="preserve"> </w:t>
      </w:r>
      <w:r>
        <w:rPr>
          <w:rFonts w:ascii="Times New Roman" w:hAnsi="Times New Roman" w:cs="Times New Roman"/>
          <w:color w:val="FF0000"/>
          <w:sz w:val="24"/>
        </w:rPr>
        <w:t>）的</w:t>
      </w:r>
      <w:r>
        <w:rPr>
          <w:rFonts w:hint="eastAsia" w:ascii="Times New Roman" w:hAnsi="Times New Roman" w:cs="Times New Roman"/>
          <w:color w:val="FF0000"/>
          <w:sz w:val="24"/>
          <w:lang w:eastAsia="zh-CN"/>
        </w:rPr>
        <w:t>综合单价</w:t>
      </w:r>
      <w:r>
        <w:rPr>
          <w:rFonts w:ascii="Times New Roman" w:hAnsi="Times New Roman" w:cs="Times New Roman"/>
          <w:sz w:val="24"/>
        </w:rPr>
        <w:t>（其中，增值税税率为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）按合同约定</w:t>
      </w:r>
      <w:r>
        <w:rPr>
          <w:rFonts w:hint="eastAsia" w:ascii="Times New Roman" w:hAnsi="Times New Roman" w:cs="Times New Roman"/>
          <w:sz w:val="24"/>
        </w:rPr>
        <w:t>满足采购文件</w:t>
      </w:r>
      <w:r>
        <w:rPr>
          <w:rFonts w:ascii="Times New Roman" w:hAnsi="Times New Roman" w:cs="Times New Roman"/>
          <w:sz w:val="24"/>
        </w:rPr>
        <w:t>规定的各工程的进度要求及技术服务和质保期服务</w:t>
      </w:r>
      <w:r>
        <w:rPr>
          <w:rFonts w:hint="eastAsia" w:ascii="Times New Roman" w:hAnsi="Times New Roman" w:cs="Times New Roman"/>
          <w:sz w:val="24"/>
        </w:rPr>
        <w:t>措施并</w:t>
      </w:r>
      <w:r>
        <w:rPr>
          <w:rFonts w:ascii="Times New Roman" w:hAnsi="Times New Roman" w:cs="Times New Roman"/>
          <w:sz w:val="24"/>
        </w:rPr>
        <w:t>按合同约定履行义务。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2．我方承诺在响应有效期内不修改、撤销响应文件。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．如我方成交：</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招标</w:t>
      </w:r>
      <w:r>
        <w:rPr>
          <w:rFonts w:ascii="Times New Roman" w:hAnsi="Times New Roman" w:cs="Times New Roman"/>
          <w:sz w:val="24"/>
        </w:rPr>
        <w:t>文件规定向你方递交履约担保。</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ascii="Times New Roman" w:hAnsi="Times New Roman" w:cs="Times New Roman"/>
          <w:sz w:val="24"/>
        </w:rPr>
        <w:t>(3)我方承诺在合同约定的期限内完成全部合同任务。</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．我方在此声明，所递交的响应文件及有关资料内容完整、真实和准确。</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cs="Times New Roman"/>
          <w:sz w:val="24"/>
        </w:rPr>
      </w:pPr>
      <w:r>
        <w:rPr>
          <w:rFonts w:hint="eastAsia" w:ascii="Times New Roman" w:hAnsi="Times New Roman" w:cs="Times New Roman"/>
          <w:sz w:val="24"/>
          <w:lang w:val="en-US" w:eastAsia="zh-CN"/>
        </w:rPr>
        <w:t>7</w:t>
      </w:r>
      <w:r>
        <w:rPr>
          <w:rFonts w:ascii="Times New Roman" w:hAnsi="Times New Roman" w:cs="Times New Roman"/>
          <w:sz w:val="24"/>
        </w:rPr>
        <w:t>._</w:t>
      </w:r>
      <w:r>
        <w:rPr>
          <w:rFonts w:hint="eastAsia" w:ascii="Times New Roman" w:hAnsi="Times New Roman" w:cs="Times New Roman"/>
          <w:sz w:val="24"/>
          <w:u w:val="single"/>
          <w:lang w:val="en-US" w:eastAsia="zh-CN"/>
        </w:rPr>
        <w:t>完全响应招标文件要求</w:t>
      </w:r>
      <w:r>
        <w:rPr>
          <w:rFonts w:ascii="Times New Roman" w:hAnsi="Times New Roman" w:cs="Times New Roman"/>
          <w:sz w:val="24"/>
        </w:rPr>
        <w:t>_。</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hint="default" w:ascii="Times New Roman" w:hAnsi="Times New Roman" w:cs="Times New Roman" w:eastAsiaTheme="minorEastAsia"/>
          <w:sz w:val="24"/>
          <w:lang w:val="en-US" w:eastAsia="zh-CN"/>
        </w:rPr>
      </w:pPr>
      <w:r>
        <w:rPr>
          <w:rFonts w:ascii="Times New Roman" w:hAnsi="Times New Roman" w:cs="Times New Roman"/>
          <w:sz w:val="24"/>
        </w:rPr>
        <w:t>网址：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3420" w:firstLineChars="1425"/>
        <w:textAlignment w:val="auto"/>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740" w:firstLineChars="1975"/>
        <w:textAlignment w:val="auto"/>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30" w:name="_Toc8695_WPSOffice_Level1"/>
      <w:bookmarkStart w:id="131" w:name="_Toc18668_WPSOffice_Level1"/>
      <w:bookmarkStart w:id="132" w:name="_Toc13190_WPSOffice_Level1"/>
      <w:bookmarkStart w:id="133" w:name="_Toc17257"/>
      <w:bookmarkStart w:id="134" w:name="_Toc14563_WPSOffice_Level1"/>
      <w:bookmarkStart w:id="135" w:name="_Toc12530_WPSOffice_Level1"/>
      <w:bookmarkStart w:id="136" w:name="_Toc13422"/>
      <w:bookmarkStart w:id="137" w:name="_Toc31127_WPSOffice_Level1"/>
      <w:bookmarkStart w:id="138" w:name="_Toc32350_WPSOffice_Level1"/>
      <w:bookmarkStart w:id="139" w:name="_Toc12857"/>
      <w:r>
        <w:rPr>
          <w:rFonts w:ascii="Times New Roman" w:hAnsi="Times New Roman" w:eastAsia="黑体" w:cs="Times New Roman"/>
          <w:sz w:val="28"/>
          <w:szCs w:val="28"/>
        </w:rPr>
        <w:t>二、法定代表人身份证明及授权委托书</w:t>
      </w:r>
      <w:bookmarkEnd w:id="130"/>
      <w:bookmarkEnd w:id="131"/>
      <w:bookmarkEnd w:id="132"/>
      <w:bookmarkEnd w:id="133"/>
      <w:bookmarkEnd w:id="134"/>
      <w:bookmarkEnd w:id="135"/>
      <w:bookmarkEnd w:id="136"/>
      <w:bookmarkEnd w:id="137"/>
      <w:bookmarkEnd w:id="138"/>
      <w:bookmarkEnd w:id="139"/>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0" w:name="_Toc5153_WPSOffice_Level2"/>
      <w:bookmarkStart w:id="141" w:name="_Toc20803_WPSOffice_Level2"/>
      <w:r>
        <w:rPr>
          <w:rFonts w:ascii="Times New Roman" w:hAnsi="Times New Roman" w:eastAsia="黑体" w:cs="Times New Roman"/>
          <w:bCs/>
          <w:sz w:val="28"/>
          <w:szCs w:val="28"/>
        </w:rPr>
        <w:t>2-1 法定代表人身份证明</w:t>
      </w:r>
      <w:bookmarkEnd w:id="140"/>
      <w:bookmarkEnd w:id="141"/>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hint="eastAsia" w:ascii="Times New Roman" w:hAnsi="Times New Roman" w:cs="Times New Roman"/>
          <w:sz w:val="24"/>
          <w:u w:val="single"/>
          <w:lang w:val="en-US" w:eastAsia="zh-CN"/>
        </w:rPr>
      </w:pPr>
      <w:r>
        <w:rPr>
          <w:rFonts w:ascii="Times New Roman" w:hAnsi="Times New Roman" w:cs="Times New Roman"/>
          <w:sz w:val="24"/>
        </w:rPr>
        <w:t>地址：</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u w:val="single"/>
        </w:rPr>
      </w:pPr>
      <w:r>
        <w:rPr>
          <w:rFonts w:ascii="Times New Roman" w:hAnsi="Times New Roman" w:cs="Times New Roman"/>
          <w:sz w:val="24"/>
        </w:rPr>
        <w:t>经营期限：</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年 月 日至 年 月 日</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hint="eastAsia" w:ascii="Times New Roman" w:hAnsi="Times New Roman" w:cs="Times New Roman"/>
          <w:bCs/>
          <w:sz w:val="24"/>
          <w:u w:val="single"/>
          <w:lang w:val="en-US" w:eastAsia="zh-CN"/>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hint="eastAsia"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pStyle w:val="31"/>
        <w:rPr>
          <w:rFonts w:hint="eastAsia" w:ascii="Times New Roman" w:hAnsi="Times New Roman" w:cs="Times New Roman"/>
          <w:sz w:val="24"/>
        </w:rPr>
      </w:pPr>
    </w:p>
    <w:p>
      <w:pPr>
        <w:pStyle w:val="31"/>
        <w:rPr>
          <w:rFonts w:hint="eastAsia" w:ascii="Times New Roman" w:hAnsi="Times New Roman" w:cs="Times New Roman"/>
          <w:sz w:val="24"/>
        </w:rPr>
      </w:pPr>
      <w:r>
        <w:rPr>
          <w:rFonts w:hint="eastAsia"/>
          <w:lang w:val="en-US" w:eastAsia="zh-CN"/>
        </w:rPr>
        <w:t xml:space="preserve"> </w:t>
      </w:r>
    </w:p>
    <w:p>
      <w:pPr>
        <w:spacing w:line="440" w:lineRule="exact"/>
        <w:rPr>
          <w:lang w:val="en-US" w:eastAsia="zh-CN"/>
        </w:rPr>
      </w:pPr>
    </w:p>
    <w:p>
      <w:pPr>
        <w:spacing w:line="440" w:lineRule="exact"/>
        <w:ind w:firstLine="420" w:firstLineChars="200"/>
        <w:rPr>
          <w:lang w:val="en-US" w:eastAsia="zh-CN"/>
        </w:rPr>
      </w:pPr>
    </w:p>
    <w:p>
      <w:pPr>
        <w:pStyle w:val="31"/>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2" w:name="_Toc12035_WPSOffice_Level2"/>
      <w:bookmarkStart w:id="143"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2"/>
      <w:bookmarkEnd w:id="143"/>
    </w:p>
    <w:p>
      <w:pPr>
        <w:spacing w:line="360" w:lineRule="auto"/>
        <w:jc w:val="center"/>
        <w:rPr>
          <w:rFonts w:ascii="Times New Roman" w:hAnsi="Times New Roman" w:eastAsia="黑体" w:cs="Times New Roman"/>
          <w:sz w:val="24"/>
        </w:rPr>
      </w:pPr>
    </w:p>
    <w:p>
      <w:pPr>
        <w:topLinePunct/>
        <w:spacing w:line="360" w:lineRule="auto"/>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cs="Arial"/>
          <w:spacing w:val="20"/>
          <w:kern w:val="0"/>
          <w:sz w:val="24"/>
          <w:szCs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360" w:lineRule="auto"/>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hint="eastAsia" w:cs="Arial"/>
          <w:spacing w:val="20"/>
          <w:kern w:val="0"/>
          <w:sz w:val="24"/>
          <w:szCs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cs="Arial"/>
          <w:spacing w:val="20"/>
          <w:kern w:val="0"/>
          <w:sz w:val="28"/>
          <w:szCs w:val="28"/>
          <w:u w:val="single"/>
          <w:lang w:val="en-US" w:eastAsia="zh-CN"/>
        </w:rPr>
        <w:t xml:space="preserve">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r>
        <w:rPr>
          <w:rFonts w:hint="eastAsia"/>
          <w:sz w:val="28"/>
          <w:szCs w:val="28"/>
          <w:u w:val="single"/>
          <w:lang w:val="en-US" w:eastAsia="zh-CN"/>
        </w:rPr>
        <w:t xml:space="preserve">                               </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topLinePunct/>
        <w:spacing w:line="440" w:lineRule="exact"/>
        <w:jc w:val="center"/>
        <w:outlineLvl w:val="0"/>
        <w:rPr>
          <w:rFonts w:ascii="Times New Roman" w:hAnsi="Times New Roman" w:eastAsia="黑体" w:cs="Times New Roman"/>
          <w:sz w:val="28"/>
          <w:szCs w:val="28"/>
        </w:rPr>
      </w:pPr>
      <w:bookmarkStart w:id="144" w:name="_Toc25920_WPSOffice_Level1"/>
      <w:bookmarkStart w:id="145" w:name="_Toc7738_WPSOffice_Level1"/>
      <w:bookmarkStart w:id="146" w:name="_Toc23545_WPSOffice_Level1"/>
      <w:bookmarkStart w:id="147" w:name="_Toc27812_WPSOffice_Level1"/>
      <w:bookmarkStart w:id="148" w:name="_Toc30288"/>
      <w:bookmarkStart w:id="149" w:name="_Toc26170"/>
      <w:bookmarkStart w:id="150" w:name="_Toc31445_WPSOffice_Level1"/>
      <w:bookmarkStart w:id="151" w:name="_Toc22815_WPSOffice_Level1"/>
      <w:bookmarkStart w:id="152" w:name="_Toc10436_WPSOffice_Level1"/>
      <w:bookmarkStart w:id="153" w:name="_Toc5868"/>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154" w:name="_Toc27600_WPSOffice_Level2"/>
      <w:bookmarkStart w:id="155" w:name="_Toc2807_WPSOffice_Level2"/>
      <w:r>
        <w:rPr>
          <w:rFonts w:ascii="Times New Roman" w:hAnsi="Times New Roman" w:eastAsia="黑体" w:cs="Times New Roman"/>
          <w:sz w:val="28"/>
          <w:szCs w:val="28"/>
        </w:rPr>
        <w:t>供应商基本情况</w:t>
      </w:r>
      <w:bookmarkEnd w:id="144"/>
      <w:bookmarkEnd w:id="145"/>
      <w:bookmarkEnd w:id="146"/>
      <w:bookmarkEnd w:id="147"/>
      <w:bookmarkEnd w:id="148"/>
      <w:bookmarkEnd w:id="149"/>
      <w:bookmarkEnd w:id="150"/>
      <w:bookmarkEnd w:id="151"/>
      <w:bookmarkEnd w:id="152"/>
      <w:bookmarkEnd w:id="153"/>
      <w:bookmarkEnd w:id="154"/>
      <w:bookmarkEnd w:id="155"/>
    </w:p>
    <w:p>
      <w:pPr>
        <w:topLinePunct/>
        <w:spacing w:line="440" w:lineRule="exact"/>
        <w:jc w:val="center"/>
        <w:rPr>
          <w:rFonts w:ascii="Times New Roman" w:hAnsi="Times New Roman" w:cs="Times New Roman"/>
          <w:sz w:val="23"/>
          <w:szCs w:val="23"/>
        </w:rPr>
      </w:pPr>
    </w:p>
    <w:tbl>
      <w:tblPr>
        <w:tblStyle w:val="2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等线" w:hAnsi="等线" w:eastAsia="等线" w:cs="等线"/>
                <w:color w:val="000000"/>
                <w:sz w:val="22"/>
                <w:szCs w:val="22"/>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宋体" w:hAnsi="宋体" w:eastAsia="宋体" w:cs="宋体"/>
                <w:color w:val="000000"/>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eastAsia="宋体" w:cs="Arial"/>
                <w:b w:val="0"/>
                <w:bCs w:val="0"/>
                <w:spacing w:val="20"/>
                <w:kern w:val="0"/>
                <w:sz w:val="24"/>
                <w:szCs w:val="24"/>
                <w:u w:val="non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 xml:space="preserve"> </w:t>
            </w: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b/>
          <w:bCs/>
          <w:sz w:val="30"/>
          <w:szCs w:val="30"/>
        </w:rPr>
      </w:pPr>
      <w:r>
        <w:rPr>
          <w:rFonts w:ascii="Times New Roman" w:hAnsi="Times New Roman" w:eastAsia="黑体" w:cs="Times New Roman"/>
          <w:b/>
          <w:bCs/>
          <w:sz w:val="30"/>
          <w:szCs w:val="30"/>
        </w:rPr>
        <w:t>注：</w:t>
      </w:r>
    </w:p>
    <w:p>
      <w:pPr>
        <w:widowControl/>
        <w:autoSpaceDE w:val="0"/>
        <w:autoSpaceDN w:val="0"/>
        <w:spacing w:line="360" w:lineRule="atLeast"/>
        <w:ind w:left="420" w:leftChars="200" w:firstLine="482" w:firstLineChars="200"/>
        <w:textAlignment w:val="bottom"/>
        <w:rPr>
          <w:rFonts w:ascii="Times New Roman" w:hAnsi="Times New Roman" w:eastAsia="黑体" w:cs="Times New Roman"/>
          <w:b/>
          <w:bCs/>
          <w:sz w:val="24"/>
          <w:szCs w:val="24"/>
        </w:rPr>
      </w:pPr>
      <w:r>
        <w:rPr>
          <w:rFonts w:hint="eastAsia" w:ascii="Times New Roman" w:hAnsi="Times New Roman" w:eastAsia="黑体" w:cs="Times New Roman"/>
          <w:b/>
          <w:bCs/>
          <w:sz w:val="24"/>
          <w:szCs w:val="24"/>
          <w:lang w:val="en-US" w:eastAsia="zh-CN"/>
        </w:rPr>
        <w:t>1.</w:t>
      </w:r>
      <w:r>
        <w:rPr>
          <w:rFonts w:ascii="Times New Roman" w:hAnsi="Times New Roman" w:eastAsia="黑体" w:cs="Times New Roman"/>
          <w:b/>
          <w:bCs/>
          <w:sz w:val="24"/>
          <w:szCs w:val="24"/>
        </w:rPr>
        <w:t>在本表后应附企业法人营业执照、资质证书</w:t>
      </w:r>
      <w:r>
        <w:rPr>
          <w:rFonts w:hint="eastAsia" w:ascii="Times New Roman" w:hAnsi="Times New Roman" w:eastAsia="黑体" w:cs="Times New Roman"/>
          <w:b/>
          <w:bCs/>
          <w:sz w:val="24"/>
          <w:szCs w:val="24"/>
        </w:rPr>
        <w:t>（如有）、授权代理证明材料</w:t>
      </w:r>
      <w:r>
        <w:rPr>
          <w:rFonts w:ascii="Times New Roman" w:hAnsi="Times New Roman" w:eastAsia="黑体" w:cs="Times New Roman"/>
          <w:b/>
          <w:bCs/>
          <w:sz w:val="24"/>
          <w:szCs w:val="24"/>
        </w:rPr>
        <w:t>及资格审查要求的其他证件复印件</w:t>
      </w:r>
      <w:r>
        <w:rPr>
          <w:rFonts w:hint="eastAsia" w:ascii="Times New Roman" w:hAnsi="Times New Roman" w:eastAsia="黑体" w:cs="Times New Roman"/>
          <w:b/>
          <w:bCs/>
          <w:sz w:val="24"/>
          <w:szCs w:val="24"/>
          <w:lang w:eastAsia="zh-CN"/>
        </w:rPr>
        <w:t>（</w:t>
      </w:r>
      <w:r>
        <w:rPr>
          <w:rFonts w:hint="eastAsia" w:ascii="Times New Roman" w:hAnsi="Times New Roman" w:eastAsia="黑体" w:cs="Times New Roman"/>
          <w:b/>
          <w:bCs/>
          <w:sz w:val="24"/>
          <w:szCs w:val="24"/>
          <w:lang w:val="en-US" w:eastAsia="zh-CN"/>
        </w:rPr>
        <w:t>品牌有效授权证明文件</w:t>
      </w:r>
      <w:r>
        <w:rPr>
          <w:rFonts w:hint="eastAsia" w:ascii="Times New Roman" w:hAnsi="Times New Roman" w:eastAsia="黑体" w:cs="Times New Roman"/>
          <w:b/>
          <w:bCs/>
          <w:sz w:val="24"/>
          <w:szCs w:val="24"/>
          <w:lang w:eastAsia="zh-CN"/>
        </w:rPr>
        <w:t>）</w:t>
      </w:r>
      <w:r>
        <w:rPr>
          <w:rFonts w:ascii="Times New Roman" w:hAnsi="Times New Roman" w:eastAsia="黑体" w:cs="Times New Roman"/>
          <w:b/>
          <w:bCs/>
          <w:sz w:val="24"/>
          <w:szCs w:val="24"/>
        </w:rPr>
        <w:t>。</w:t>
      </w:r>
    </w:p>
    <w:p>
      <w:pPr>
        <w:pStyle w:val="2"/>
        <w:rPr>
          <w:rFonts w:hint="default" w:eastAsia="黑体"/>
          <w:lang w:val="en-US" w:eastAsia="zh-CN"/>
        </w:rPr>
      </w:pPr>
      <w:r>
        <w:rPr>
          <w:rFonts w:hint="eastAsia" w:ascii="Times New Roman" w:hAnsi="Times New Roman" w:eastAsia="黑体" w:cs="Times New Roman"/>
          <w:b/>
          <w:bCs/>
          <w:sz w:val="24"/>
          <w:szCs w:val="24"/>
          <w:lang w:val="en-US" w:eastAsia="zh-CN"/>
        </w:rPr>
        <w:t>2.失信人、违法失信企业等查询证明文件。</w:t>
      </w:r>
    </w:p>
    <w:p>
      <w:pPr>
        <w:pStyle w:val="2"/>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sectPr>
          <w:footerReference r:id="rId8" w:type="default"/>
          <w:footnotePr>
            <w:pos w:val="beneathText"/>
          </w:footnote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2"/>
        <w:ind w:left="0" w:leftChars="0" w:firstLine="0" w:firstLineChars="0"/>
      </w:pPr>
    </w:p>
    <w:p>
      <w:pPr>
        <w:spacing w:line="440" w:lineRule="exact"/>
        <w:jc w:val="center"/>
        <w:outlineLvl w:val="0"/>
        <w:rPr>
          <w:rFonts w:hint="default" w:ascii="Times New Roman" w:hAnsi="Times New Roman" w:eastAsia="黑体" w:cs="Times New Roman"/>
          <w:sz w:val="28"/>
          <w:szCs w:val="28"/>
          <w:lang w:val="en-US" w:eastAsia="zh-CN"/>
        </w:rPr>
      </w:pPr>
      <w:bookmarkStart w:id="156" w:name="_Toc22303_WPSOffice_Level1"/>
      <w:bookmarkStart w:id="157" w:name="_Toc2428_WPSOffice_Level1"/>
      <w:bookmarkStart w:id="158" w:name="_Toc22418"/>
      <w:bookmarkStart w:id="159" w:name="_Toc13165_WPSOffice_Level1"/>
      <w:bookmarkStart w:id="160" w:name="_Toc15887_WPSOffice_Level1"/>
      <w:bookmarkStart w:id="161" w:name="_Toc11045"/>
      <w:bookmarkStart w:id="162" w:name="_Toc7110_WPSOffice_Level1"/>
      <w:bookmarkStart w:id="163" w:name="_Toc12465"/>
      <w:bookmarkStart w:id="164" w:name="_Toc15802_WPSOffice_Level1"/>
      <w:bookmarkStart w:id="165" w:name="_Toc8419_WPSOffice_Level1"/>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报价清单</w:t>
      </w:r>
    </w:p>
    <w:p>
      <w:pPr>
        <w:jc w:val="cente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（格式可参照第五章工程量清单）</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五、供货方案</w:t>
      </w:r>
    </w:p>
    <w:p>
      <w:pPr>
        <w:pStyle w:val="2"/>
        <w:rPr>
          <w:rFonts w:hint="eastAsia"/>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六、业绩证明材料</w:t>
      </w: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36"/>
          <w:szCs w:val="36"/>
          <w:lang w:val="en-US" w:eastAsia="zh-CN"/>
        </w:rPr>
      </w:pPr>
      <w:r>
        <w:rPr>
          <w:rFonts w:hint="eastAsia" w:ascii="Times New Roman" w:hAnsi="Times New Roman" w:eastAsia="黑体" w:cs="Times New Roman"/>
          <w:sz w:val="36"/>
          <w:szCs w:val="36"/>
          <w:lang w:val="en-US" w:eastAsia="zh-CN"/>
        </w:rPr>
        <w:t>七、生产线保障措施</w:t>
      </w:r>
    </w:p>
    <w:p>
      <w:pPr>
        <w:spacing w:line="440" w:lineRule="exact"/>
        <w:ind w:left="1619" w:leftChars="771"/>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hint="eastAsia" w:ascii="Times New Roman" w:hAnsi="Times New Roman" w:eastAsia="黑体" w:cs="Times New Roman"/>
          <w:sz w:val="24"/>
          <w:lang w:val="en-US" w:eastAsia="zh-CN"/>
        </w:rPr>
      </w:pPr>
    </w:p>
    <w:p>
      <w:pPr>
        <w:spacing w:line="440" w:lineRule="exact"/>
        <w:jc w:val="center"/>
        <w:outlineLvl w:val="0"/>
        <w:rPr>
          <w:rFonts w:ascii="Times New Roman" w:hAnsi="Times New Roman" w:eastAsia="黑体" w:cs="Times New Roman"/>
          <w:sz w:val="36"/>
          <w:szCs w:val="36"/>
        </w:rPr>
      </w:pPr>
      <w:r>
        <w:rPr>
          <w:rFonts w:hint="eastAsia" w:ascii="Times New Roman" w:hAnsi="Times New Roman" w:eastAsia="黑体" w:cs="Times New Roman"/>
          <w:sz w:val="36"/>
          <w:szCs w:val="36"/>
          <w:lang w:val="en-US" w:eastAsia="zh-CN"/>
        </w:rPr>
        <w:t>八、</w:t>
      </w:r>
      <w:r>
        <w:rPr>
          <w:rFonts w:ascii="Times New Roman" w:hAnsi="Times New Roman" w:eastAsia="黑体" w:cs="Times New Roman"/>
          <w:sz w:val="36"/>
          <w:szCs w:val="36"/>
        </w:rPr>
        <w:t>其它</w:t>
      </w:r>
      <w:bookmarkEnd w:id="156"/>
      <w:r>
        <w:rPr>
          <w:rFonts w:ascii="Times New Roman" w:hAnsi="Times New Roman" w:eastAsia="黑体" w:cs="Times New Roman"/>
          <w:sz w:val="36"/>
          <w:szCs w:val="36"/>
        </w:rPr>
        <w:t>材料</w:t>
      </w:r>
      <w:bookmarkEnd w:id="157"/>
      <w:bookmarkEnd w:id="158"/>
      <w:bookmarkEnd w:id="159"/>
      <w:bookmarkEnd w:id="160"/>
      <w:bookmarkEnd w:id="161"/>
      <w:bookmarkEnd w:id="162"/>
      <w:bookmarkEnd w:id="163"/>
      <w:bookmarkEnd w:id="164"/>
      <w:bookmarkEnd w:id="165"/>
    </w:p>
    <w:p>
      <w:pPr>
        <w:pStyle w:val="2"/>
      </w:pPr>
    </w:p>
    <w:p>
      <w:pPr>
        <w:pStyle w:val="31"/>
        <w:ind w:firstLine="480" w:firstLineChars="200"/>
        <w:rPr>
          <w:rFonts w:ascii="Times New Roman" w:hAnsi="Times New Roman"/>
          <w:color w:val="auto"/>
          <w:szCs w:val="28"/>
        </w:rPr>
      </w:pPr>
      <w:r>
        <w:rPr>
          <w:rFonts w:ascii="Times New Roman" w:hAnsi="Times New Roman"/>
          <w:color w:val="auto"/>
          <w:szCs w:val="28"/>
        </w:rPr>
        <w:t>供应商认为需要提供的其他资料。</w:t>
      </w:r>
    </w:p>
    <w:p>
      <w:pPr>
        <w:pStyle w:val="31"/>
        <w:ind w:firstLine="480" w:firstLineChars="200"/>
        <w:rPr>
          <w:rFonts w:ascii="Times New Roman" w:hAnsi="Times New Roman"/>
          <w:color w:val="auto"/>
          <w:szCs w:val="28"/>
        </w:rPr>
      </w:pPr>
    </w:p>
    <w:p>
      <w:pPr>
        <w:pStyle w:val="31"/>
        <w:ind w:firstLine="480" w:firstLineChars="200"/>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ascii="Times New Roman" w:hAnsi="Times New Roman"/>
          <w:color w:val="auto"/>
          <w:szCs w:val="28"/>
          <w:lang w:val="en-US" w:eastAsia="zh-CN"/>
        </w:rPr>
        <w:t>后附产品合格证和产品检测报告</w:t>
      </w:r>
    </w:p>
    <w:p>
      <w:pPr>
        <w:pStyle w:val="31"/>
        <w:rPr>
          <w:rFonts w:hint="default" w:ascii="Times New Roman" w:hAnsi="Times New Roman" w:eastAsia="Fang Song"/>
          <w:b/>
          <w:bCs/>
          <w:color w:val="auto"/>
          <w:sz w:val="32"/>
          <w:szCs w:val="32"/>
          <w:lang w:val="en-US" w:eastAsia="zh-CN"/>
        </w:rPr>
      </w:pPr>
    </w:p>
    <w:sectPr>
      <w:headerReference r:id="rId9" w:type="defaul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粗黑宋简体">
    <w:panose1 w:val="02000000000000000000"/>
    <w:charset w:val="86"/>
    <w:family w:val="auto"/>
    <w:pitch w:val="default"/>
    <w:sig w:usb0="A00002BF" w:usb1="184F6CFA" w:usb2="00000012" w:usb3="00000000" w:csb0="0004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auto"/>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70E25"/>
    <w:multiLevelType w:val="singleLevel"/>
    <w:tmpl w:val="95070E25"/>
    <w:lvl w:ilvl="0" w:tentative="0">
      <w:start w:val="6"/>
      <w:numFmt w:val="chineseCounting"/>
      <w:suff w:val="space"/>
      <w:lvlText w:val="第%1章"/>
      <w:lvlJc w:val="left"/>
      <w:rPr>
        <w:rFonts w:hint="eastAsia"/>
      </w:rPr>
    </w:lvl>
  </w:abstractNum>
  <w:abstractNum w:abstractNumId="1">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16AEB07C"/>
    <w:multiLevelType w:val="singleLevel"/>
    <w:tmpl w:val="16AEB07C"/>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6"/>
      <w:suff w:val="nothing"/>
      <w:lvlText w:val="%1．"/>
      <w:lvlJc w:val="left"/>
      <w:pPr>
        <w:ind w:left="17" w:firstLine="400"/>
      </w:pPr>
      <w:rPr>
        <w:rFont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QzZjFjOTdlZDhmYjI4N2M5OTI4M2UyZjI0ZGEifQ=="/>
  </w:docVars>
  <w:rsids>
    <w:rsidRoot w:val="00000000"/>
    <w:rsid w:val="002E4EEB"/>
    <w:rsid w:val="003A15BE"/>
    <w:rsid w:val="007A6F63"/>
    <w:rsid w:val="01463D20"/>
    <w:rsid w:val="01732E5C"/>
    <w:rsid w:val="017F5714"/>
    <w:rsid w:val="01EC2DA4"/>
    <w:rsid w:val="023E5E0B"/>
    <w:rsid w:val="025A0035"/>
    <w:rsid w:val="02614FC7"/>
    <w:rsid w:val="02A97FD3"/>
    <w:rsid w:val="02BC37BE"/>
    <w:rsid w:val="02BC4891"/>
    <w:rsid w:val="02CC0668"/>
    <w:rsid w:val="02FE6617"/>
    <w:rsid w:val="035A0DBC"/>
    <w:rsid w:val="039B791C"/>
    <w:rsid w:val="039E176D"/>
    <w:rsid w:val="03D028B2"/>
    <w:rsid w:val="040F0CAB"/>
    <w:rsid w:val="042C5F5C"/>
    <w:rsid w:val="043B72F3"/>
    <w:rsid w:val="045536A5"/>
    <w:rsid w:val="046C67C9"/>
    <w:rsid w:val="05DE18EA"/>
    <w:rsid w:val="05ED01D7"/>
    <w:rsid w:val="06251CEC"/>
    <w:rsid w:val="06AF6676"/>
    <w:rsid w:val="06D557B3"/>
    <w:rsid w:val="070D15B1"/>
    <w:rsid w:val="07932390"/>
    <w:rsid w:val="07C02047"/>
    <w:rsid w:val="07FC6EC9"/>
    <w:rsid w:val="085C48E2"/>
    <w:rsid w:val="089E2538"/>
    <w:rsid w:val="08CE6B0B"/>
    <w:rsid w:val="09554A11"/>
    <w:rsid w:val="09596BB1"/>
    <w:rsid w:val="09A2429D"/>
    <w:rsid w:val="09B71227"/>
    <w:rsid w:val="0A12645E"/>
    <w:rsid w:val="0A3E7253"/>
    <w:rsid w:val="0A4313C9"/>
    <w:rsid w:val="0AC66D24"/>
    <w:rsid w:val="0ADE7F59"/>
    <w:rsid w:val="0AE55920"/>
    <w:rsid w:val="0AF73FD1"/>
    <w:rsid w:val="0B024724"/>
    <w:rsid w:val="0B0835EB"/>
    <w:rsid w:val="0B705B32"/>
    <w:rsid w:val="0B83133D"/>
    <w:rsid w:val="0C261806"/>
    <w:rsid w:val="0C4B7184"/>
    <w:rsid w:val="0CBB2509"/>
    <w:rsid w:val="0D386F92"/>
    <w:rsid w:val="0D470B14"/>
    <w:rsid w:val="0D5B0733"/>
    <w:rsid w:val="0D5B71EE"/>
    <w:rsid w:val="0DB31D06"/>
    <w:rsid w:val="0DE178E8"/>
    <w:rsid w:val="0DF01E5A"/>
    <w:rsid w:val="0DF60FF9"/>
    <w:rsid w:val="0E665C61"/>
    <w:rsid w:val="0E7B23B5"/>
    <w:rsid w:val="0EB94FDD"/>
    <w:rsid w:val="0ECA37AB"/>
    <w:rsid w:val="0EDE1004"/>
    <w:rsid w:val="0F0740B7"/>
    <w:rsid w:val="0F1400A1"/>
    <w:rsid w:val="0F172DE0"/>
    <w:rsid w:val="0F783207"/>
    <w:rsid w:val="0F977002"/>
    <w:rsid w:val="0FF22BE2"/>
    <w:rsid w:val="106477BA"/>
    <w:rsid w:val="106B2E6F"/>
    <w:rsid w:val="109A6FA1"/>
    <w:rsid w:val="10C4790F"/>
    <w:rsid w:val="110765F0"/>
    <w:rsid w:val="11267BAE"/>
    <w:rsid w:val="114E2471"/>
    <w:rsid w:val="116611DD"/>
    <w:rsid w:val="116F6A3F"/>
    <w:rsid w:val="11AE1B16"/>
    <w:rsid w:val="11D07711"/>
    <w:rsid w:val="12AF5192"/>
    <w:rsid w:val="132456E1"/>
    <w:rsid w:val="132D209E"/>
    <w:rsid w:val="135A4173"/>
    <w:rsid w:val="13B4187F"/>
    <w:rsid w:val="13BC4AA5"/>
    <w:rsid w:val="14065285"/>
    <w:rsid w:val="14357918"/>
    <w:rsid w:val="14500413"/>
    <w:rsid w:val="14B850C8"/>
    <w:rsid w:val="152E22D6"/>
    <w:rsid w:val="15604521"/>
    <w:rsid w:val="157B1A2D"/>
    <w:rsid w:val="159E329B"/>
    <w:rsid w:val="15ED0382"/>
    <w:rsid w:val="162662B7"/>
    <w:rsid w:val="16484C0F"/>
    <w:rsid w:val="164E5E88"/>
    <w:rsid w:val="166F4DD9"/>
    <w:rsid w:val="167A7B29"/>
    <w:rsid w:val="181932C1"/>
    <w:rsid w:val="18253B08"/>
    <w:rsid w:val="183A07EC"/>
    <w:rsid w:val="18624A54"/>
    <w:rsid w:val="1872175C"/>
    <w:rsid w:val="18952734"/>
    <w:rsid w:val="18E45469"/>
    <w:rsid w:val="18EB2D9C"/>
    <w:rsid w:val="18EB5B53"/>
    <w:rsid w:val="18FE29CF"/>
    <w:rsid w:val="18FF784C"/>
    <w:rsid w:val="19193BE6"/>
    <w:rsid w:val="19281F1D"/>
    <w:rsid w:val="19314230"/>
    <w:rsid w:val="1992372E"/>
    <w:rsid w:val="19A7511A"/>
    <w:rsid w:val="19A8293B"/>
    <w:rsid w:val="1A3314F0"/>
    <w:rsid w:val="1A9F1422"/>
    <w:rsid w:val="1A9F789A"/>
    <w:rsid w:val="1AA2720F"/>
    <w:rsid w:val="1AD10F75"/>
    <w:rsid w:val="1B1C3B2B"/>
    <w:rsid w:val="1B2D313B"/>
    <w:rsid w:val="1B593EEC"/>
    <w:rsid w:val="1B6F1628"/>
    <w:rsid w:val="1B883939"/>
    <w:rsid w:val="1B8847D2"/>
    <w:rsid w:val="1BA86869"/>
    <w:rsid w:val="1BB9002D"/>
    <w:rsid w:val="1BD9502D"/>
    <w:rsid w:val="1C1501D9"/>
    <w:rsid w:val="1C584725"/>
    <w:rsid w:val="1C7A236C"/>
    <w:rsid w:val="1C962F1E"/>
    <w:rsid w:val="1CA20B8F"/>
    <w:rsid w:val="1CA7512B"/>
    <w:rsid w:val="1D063C00"/>
    <w:rsid w:val="1D175B80"/>
    <w:rsid w:val="1E277D07"/>
    <w:rsid w:val="1EDE625E"/>
    <w:rsid w:val="1F102E4B"/>
    <w:rsid w:val="1F8E3D15"/>
    <w:rsid w:val="1FF13814"/>
    <w:rsid w:val="20726928"/>
    <w:rsid w:val="20914128"/>
    <w:rsid w:val="2092458F"/>
    <w:rsid w:val="20AB0688"/>
    <w:rsid w:val="20CB6E6D"/>
    <w:rsid w:val="20CD4FA8"/>
    <w:rsid w:val="21170BC6"/>
    <w:rsid w:val="212160C8"/>
    <w:rsid w:val="217D645B"/>
    <w:rsid w:val="220426D8"/>
    <w:rsid w:val="220E3E9E"/>
    <w:rsid w:val="221E03AA"/>
    <w:rsid w:val="2226472C"/>
    <w:rsid w:val="22717D6E"/>
    <w:rsid w:val="22806C69"/>
    <w:rsid w:val="22943A5C"/>
    <w:rsid w:val="22B31783"/>
    <w:rsid w:val="22E640FD"/>
    <w:rsid w:val="22FF7E01"/>
    <w:rsid w:val="233F5F6B"/>
    <w:rsid w:val="23616034"/>
    <w:rsid w:val="23906919"/>
    <w:rsid w:val="23A96B19"/>
    <w:rsid w:val="24107A5A"/>
    <w:rsid w:val="248F6BD1"/>
    <w:rsid w:val="25336F48"/>
    <w:rsid w:val="254F10C5"/>
    <w:rsid w:val="256800E8"/>
    <w:rsid w:val="25710085"/>
    <w:rsid w:val="25BB0AD4"/>
    <w:rsid w:val="26270918"/>
    <w:rsid w:val="2629095F"/>
    <w:rsid w:val="273F48DE"/>
    <w:rsid w:val="27602AA7"/>
    <w:rsid w:val="276C38CE"/>
    <w:rsid w:val="27B05B8D"/>
    <w:rsid w:val="27CE1A9E"/>
    <w:rsid w:val="27EA7837"/>
    <w:rsid w:val="27FE4172"/>
    <w:rsid w:val="28092367"/>
    <w:rsid w:val="282615FA"/>
    <w:rsid w:val="28983E1D"/>
    <w:rsid w:val="289A0330"/>
    <w:rsid w:val="28B209A1"/>
    <w:rsid w:val="28BA2743"/>
    <w:rsid w:val="28BC10E5"/>
    <w:rsid w:val="293B2E83"/>
    <w:rsid w:val="293E03B7"/>
    <w:rsid w:val="29535739"/>
    <w:rsid w:val="296456F2"/>
    <w:rsid w:val="29846A67"/>
    <w:rsid w:val="299A413D"/>
    <w:rsid w:val="29C47100"/>
    <w:rsid w:val="2A17569E"/>
    <w:rsid w:val="2AA35184"/>
    <w:rsid w:val="2ABA427C"/>
    <w:rsid w:val="2ACC3661"/>
    <w:rsid w:val="2B763693"/>
    <w:rsid w:val="2BA613A2"/>
    <w:rsid w:val="2BDD7DA8"/>
    <w:rsid w:val="2C1249C8"/>
    <w:rsid w:val="2CBC0748"/>
    <w:rsid w:val="2CBC187A"/>
    <w:rsid w:val="2CBC3F9A"/>
    <w:rsid w:val="2CC967B9"/>
    <w:rsid w:val="2CE07646"/>
    <w:rsid w:val="2DB73DD3"/>
    <w:rsid w:val="2DEC1746"/>
    <w:rsid w:val="2E08390E"/>
    <w:rsid w:val="2E0B4012"/>
    <w:rsid w:val="2E4A5917"/>
    <w:rsid w:val="2E647236"/>
    <w:rsid w:val="2E67296D"/>
    <w:rsid w:val="2EA469BE"/>
    <w:rsid w:val="2EAB5C77"/>
    <w:rsid w:val="2EAC399C"/>
    <w:rsid w:val="2EAE5EA6"/>
    <w:rsid w:val="2EC43AAA"/>
    <w:rsid w:val="2F324D29"/>
    <w:rsid w:val="30427416"/>
    <w:rsid w:val="305B4D56"/>
    <w:rsid w:val="31012C04"/>
    <w:rsid w:val="3116305B"/>
    <w:rsid w:val="311C7A3E"/>
    <w:rsid w:val="311F308B"/>
    <w:rsid w:val="313F372D"/>
    <w:rsid w:val="316A5432"/>
    <w:rsid w:val="31815AF3"/>
    <w:rsid w:val="31B5010F"/>
    <w:rsid w:val="31E22A36"/>
    <w:rsid w:val="31FE0EF2"/>
    <w:rsid w:val="320C1861"/>
    <w:rsid w:val="323112C7"/>
    <w:rsid w:val="327D776A"/>
    <w:rsid w:val="333C5FCB"/>
    <w:rsid w:val="334C1B38"/>
    <w:rsid w:val="33CC6C3A"/>
    <w:rsid w:val="33DB1A00"/>
    <w:rsid w:val="33DF1544"/>
    <w:rsid w:val="34067FAF"/>
    <w:rsid w:val="343E120B"/>
    <w:rsid w:val="34574E2A"/>
    <w:rsid w:val="346D5DD1"/>
    <w:rsid w:val="34A57D4B"/>
    <w:rsid w:val="34C242DD"/>
    <w:rsid w:val="34ED5BBB"/>
    <w:rsid w:val="34F55995"/>
    <w:rsid w:val="34FA3BF3"/>
    <w:rsid w:val="35284FF2"/>
    <w:rsid w:val="359D0127"/>
    <w:rsid w:val="35C81F43"/>
    <w:rsid w:val="35FA6E31"/>
    <w:rsid w:val="36A92C3F"/>
    <w:rsid w:val="36C36D05"/>
    <w:rsid w:val="37003823"/>
    <w:rsid w:val="37681640"/>
    <w:rsid w:val="376E6341"/>
    <w:rsid w:val="381909A8"/>
    <w:rsid w:val="384C4706"/>
    <w:rsid w:val="385F6DC0"/>
    <w:rsid w:val="386C03AF"/>
    <w:rsid w:val="38833556"/>
    <w:rsid w:val="389E6F8B"/>
    <w:rsid w:val="38BF587F"/>
    <w:rsid w:val="397C7F0C"/>
    <w:rsid w:val="399D1DD6"/>
    <w:rsid w:val="3A5B1D24"/>
    <w:rsid w:val="3A6E1C2B"/>
    <w:rsid w:val="3AB313DC"/>
    <w:rsid w:val="3AC62276"/>
    <w:rsid w:val="3ADC3D9A"/>
    <w:rsid w:val="3AF47336"/>
    <w:rsid w:val="3B161A6F"/>
    <w:rsid w:val="3B3871F8"/>
    <w:rsid w:val="3B3E0A88"/>
    <w:rsid w:val="3B4C4927"/>
    <w:rsid w:val="3B9823B7"/>
    <w:rsid w:val="3BD42EF3"/>
    <w:rsid w:val="3BEB24E7"/>
    <w:rsid w:val="3BFD221A"/>
    <w:rsid w:val="3C8C62AF"/>
    <w:rsid w:val="3CA43EC8"/>
    <w:rsid w:val="3CCB0BE1"/>
    <w:rsid w:val="3D22708F"/>
    <w:rsid w:val="3D4238E4"/>
    <w:rsid w:val="3D5968BC"/>
    <w:rsid w:val="3DB66B25"/>
    <w:rsid w:val="3DBD7EB3"/>
    <w:rsid w:val="3E1C7B7C"/>
    <w:rsid w:val="3E8B2702"/>
    <w:rsid w:val="3E905057"/>
    <w:rsid w:val="3F004746"/>
    <w:rsid w:val="3F4C0A41"/>
    <w:rsid w:val="3F744EE9"/>
    <w:rsid w:val="3FA84A66"/>
    <w:rsid w:val="3FB35A12"/>
    <w:rsid w:val="3FC512A1"/>
    <w:rsid w:val="3FFF2A05"/>
    <w:rsid w:val="402C054C"/>
    <w:rsid w:val="40663550"/>
    <w:rsid w:val="4093314D"/>
    <w:rsid w:val="40964000"/>
    <w:rsid w:val="40A315E2"/>
    <w:rsid w:val="40AD420F"/>
    <w:rsid w:val="40AF00D7"/>
    <w:rsid w:val="410143D6"/>
    <w:rsid w:val="41134254"/>
    <w:rsid w:val="41936EDE"/>
    <w:rsid w:val="41EC520B"/>
    <w:rsid w:val="42756FAE"/>
    <w:rsid w:val="42AE24C0"/>
    <w:rsid w:val="42EB54C2"/>
    <w:rsid w:val="42F42DE9"/>
    <w:rsid w:val="4305164F"/>
    <w:rsid w:val="43056584"/>
    <w:rsid w:val="43113973"/>
    <w:rsid w:val="432F53AF"/>
    <w:rsid w:val="43CC70A2"/>
    <w:rsid w:val="43CD04F8"/>
    <w:rsid w:val="43D71C26"/>
    <w:rsid w:val="43D9531B"/>
    <w:rsid w:val="4400157F"/>
    <w:rsid w:val="448921E7"/>
    <w:rsid w:val="449563AF"/>
    <w:rsid w:val="44F57308"/>
    <w:rsid w:val="45B65FBD"/>
    <w:rsid w:val="45CF69D6"/>
    <w:rsid w:val="45DF7CE8"/>
    <w:rsid w:val="461940F5"/>
    <w:rsid w:val="465206F6"/>
    <w:rsid w:val="467557CF"/>
    <w:rsid w:val="46C357B2"/>
    <w:rsid w:val="46CB53EF"/>
    <w:rsid w:val="46F25071"/>
    <w:rsid w:val="471072A6"/>
    <w:rsid w:val="47131106"/>
    <w:rsid w:val="4783216D"/>
    <w:rsid w:val="478D3CF3"/>
    <w:rsid w:val="47941C85"/>
    <w:rsid w:val="479E48B1"/>
    <w:rsid w:val="47A171E3"/>
    <w:rsid w:val="47DC362C"/>
    <w:rsid w:val="483D1222"/>
    <w:rsid w:val="488241D3"/>
    <w:rsid w:val="493A5C7A"/>
    <w:rsid w:val="49465201"/>
    <w:rsid w:val="49B370FC"/>
    <w:rsid w:val="4A031344"/>
    <w:rsid w:val="4A037596"/>
    <w:rsid w:val="4A071A72"/>
    <w:rsid w:val="4A1C2A49"/>
    <w:rsid w:val="4A1C5D75"/>
    <w:rsid w:val="4A5248DB"/>
    <w:rsid w:val="4A85449E"/>
    <w:rsid w:val="4A8D7B6A"/>
    <w:rsid w:val="4A8E6E5F"/>
    <w:rsid w:val="4B316766"/>
    <w:rsid w:val="4B455A59"/>
    <w:rsid w:val="4B6D0040"/>
    <w:rsid w:val="4BE95A45"/>
    <w:rsid w:val="4C113C6F"/>
    <w:rsid w:val="4C1A4602"/>
    <w:rsid w:val="4C447246"/>
    <w:rsid w:val="4C4F34EA"/>
    <w:rsid w:val="4C6A7458"/>
    <w:rsid w:val="4C783226"/>
    <w:rsid w:val="4C793B3F"/>
    <w:rsid w:val="4CA676AD"/>
    <w:rsid w:val="4CF82CB6"/>
    <w:rsid w:val="4D2366DE"/>
    <w:rsid w:val="4D84279B"/>
    <w:rsid w:val="4D8D1320"/>
    <w:rsid w:val="4DCA2A9D"/>
    <w:rsid w:val="4DFE254E"/>
    <w:rsid w:val="4E217FEA"/>
    <w:rsid w:val="4E3E294A"/>
    <w:rsid w:val="4E51609D"/>
    <w:rsid w:val="4E5E47CD"/>
    <w:rsid w:val="4E6676A7"/>
    <w:rsid w:val="4EC74768"/>
    <w:rsid w:val="4F07566A"/>
    <w:rsid w:val="4F186DC4"/>
    <w:rsid w:val="4F3A18BA"/>
    <w:rsid w:val="4F7D60CB"/>
    <w:rsid w:val="4FAB4E64"/>
    <w:rsid w:val="50A82C45"/>
    <w:rsid w:val="50D457E8"/>
    <w:rsid w:val="50EB2508"/>
    <w:rsid w:val="515801C7"/>
    <w:rsid w:val="518C3430"/>
    <w:rsid w:val="52067C23"/>
    <w:rsid w:val="52373670"/>
    <w:rsid w:val="52374280"/>
    <w:rsid w:val="52376D12"/>
    <w:rsid w:val="525C5A95"/>
    <w:rsid w:val="52A64F62"/>
    <w:rsid w:val="52AB4326"/>
    <w:rsid w:val="52AE45C6"/>
    <w:rsid w:val="52DA33DD"/>
    <w:rsid w:val="533802B0"/>
    <w:rsid w:val="53BD07B5"/>
    <w:rsid w:val="53BF5D27"/>
    <w:rsid w:val="53C74847"/>
    <w:rsid w:val="544B4013"/>
    <w:rsid w:val="54521C9F"/>
    <w:rsid w:val="54770CE7"/>
    <w:rsid w:val="54881E5A"/>
    <w:rsid w:val="549746AF"/>
    <w:rsid w:val="54DA6115"/>
    <w:rsid w:val="55032C42"/>
    <w:rsid w:val="550348EE"/>
    <w:rsid w:val="550B520D"/>
    <w:rsid w:val="55102B67"/>
    <w:rsid w:val="5549403D"/>
    <w:rsid w:val="556829A3"/>
    <w:rsid w:val="55763ACC"/>
    <w:rsid w:val="557E54D7"/>
    <w:rsid w:val="55E95892"/>
    <w:rsid w:val="55F61D5C"/>
    <w:rsid w:val="55FE43B9"/>
    <w:rsid w:val="561E6CDD"/>
    <w:rsid w:val="562C577E"/>
    <w:rsid w:val="562C66C3"/>
    <w:rsid w:val="56494582"/>
    <w:rsid w:val="56543B19"/>
    <w:rsid w:val="5715454C"/>
    <w:rsid w:val="57713C64"/>
    <w:rsid w:val="57EE718F"/>
    <w:rsid w:val="58106CD9"/>
    <w:rsid w:val="58125248"/>
    <w:rsid w:val="5822508B"/>
    <w:rsid w:val="583059FA"/>
    <w:rsid w:val="589F66DB"/>
    <w:rsid w:val="58A551AF"/>
    <w:rsid w:val="58EC5D11"/>
    <w:rsid w:val="594F34DC"/>
    <w:rsid w:val="5960230F"/>
    <w:rsid w:val="596B7655"/>
    <w:rsid w:val="5999137D"/>
    <w:rsid w:val="599B2979"/>
    <w:rsid w:val="59DD395F"/>
    <w:rsid w:val="5A0013FC"/>
    <w:rsid w:val="5A4A10DF"/>
    <w:rsid w:val="5A8343F6"/>
    <w:rsid w:val="5A9009D2"/>
    <w:rsid w:val="5A9D477A"/>
    <w:rsid w:val="5AB249CE"/>
    <w:rsid w:val="5B29351D"/>
    <w:rsid w:val="5B613406"/>
    <w:rsid w:val="5B857E0A"/>
    <w:rsid w:val="5BB03609"/>
    <w:rsid w:val="5BD24B9A"/>
    <w:rsid w:val="5BFB631F"/>
    <w:rsid w:val="5C3B114E"/>
    <w:rsid w:val="5C582BDA"/>
    <w:rsid w:val="5C71396C"/>
    <w:rsid w:val="5C8622D2"/>
    <w:rsid w:val="5C885D49"/>
    <w:rsid w:val="5C8C341B"/>
    <w:rsid w:val="5CAA564F"/>
    <w:rsid w:val="5CEA2661"/>
    <w:rsid w:val="5CEB0141"/>
    <w:rsid w:val="5D283143"/>
    <w:rsid w:val="5D447851"/>
    <w:rsid w:val="5D8A4BB9"/>
    <w:rsid w:val="5DED75D0"/>
    <w:rsid w:val="5E196AE5"/>
    <w:rsid w:val="5EE50BC0"/>
    <w:rsid w:val="5EEA61D6"/>
    <w:rsid w:val="5EEF0C5F"/>
    <w:rsid w:val="5F053010"/>
    <w:rsid w:val="5F230DDB"/>
    <w:rsid w:val="5F2E6A0B"/>
    <w:rsid w:val="5F335DCF"/>
    <w:rsid w:val="5FBF4719"/>
    <w:rsid w:val="5FDA624B"/>
    <w:rsid w:val="60246863"/>
    <w:rsid w:val="602913A5"/>
    <w:rsid w:val="60360CB8"/>
    <w:rsid w:val="604F2F3E"/>
    <w:rsid w:val="60636240"/>
    <w:rsid w:val="60E65ADF"/>
    <w:rsid w:val="60F670B5"/>
    <w:rsid w:val="624961BF"/>
    <w:rsid w:val="624D6891"/>
    <w:rsid w:val="626F08D2"/>
    <w:rsid w:val="6283732C"/>
    <w:rsid w:val="62A71888"/>
    <w:rsid w:val="62AA2F73"/>
    <w:rsid w:val="62EA720C"/>
    <w:rsid w:val="62FE7B1D"/>
    <w:rsid w:val="63F27284"/>
    <w:rsid w:val="64A532CB"/>
    <w:rsid w:val="64F35B20"/>
    <w:rsid w:val="6525021A"/>
    <w:rsid w:val="654152E7"/>
    <w:rsid w:val="658D4A70"/>
    <w:rsid w:val="65963018"/>
    <w:rsid w:val="65A77F0D"/>
    <w:rsid w:val="65AB2B63"/>
    <w:rsid w:val="65B74FC1"/>
    <w:rsid w:val="65C854C3"/>
    <w:rsid w:val="65D47529"/>
    <w:rsid w:val="66122A7E"/>
    <w:rsid w:val="66207890"/>
    <w:rsid w:val="66371A22"/>
    <w:rsid w:val="66C56E00"/>
    <w:rsid w:val="66F95B50"/>
    <w:rsid w:val="66FA5526"/>
    <w:rsid w:val="66FB6234"/>
    <w:rsid w:val="673B4465"/>
    <w:rsid w:val="673E3789"/>
    <w:rsid w:val="67401089"/>
    <w:rsid w:val="675B5EC3"/>
    <w:rsid w:val="67C1666E"/>
    <w:rsid w:val="67D00042"/>
    <w:rsid w:val="67EA64FB"/>
    <w:rsid w:val="67F17843"/>
    <w:rsid w:val="680B527F"/>
    <w:rsid w:val="68885E04"/>
    <w:rsid w:val="68912341"/>
    <w:rsid w:val="68D14FDD"/>
    <w:rsid w:val="68F92EC4"/>
    <w:rsid w:val="690C3919"/>
    <w:rsid w:val="692516DF"/>
    <w:rsid w:val="693F3129"/>
    <w:rsid w:val="69603C65"/>
    <w:rsid w:val="69687E3E"/>
    <w:rsid w:val="69794D27"/>
    <w:rsid w:val="69A73141"/>
    <w:rsid w:val="69F30635"/>
    <w:rsid w:val="6A1B131F"/>
    <w:rsid w:val="6AA24F76"/>
    <w:rsid w:val="6B6C4772"/>
    <w:rsid w:val="6BAA566B"/>
    <w:rsid w:val="6BF675BD"/>
    <w:rsid w:val="6C461600"/>
    <w:rsid w:val="6CDD135E"/>
    <w:rsid w:val="6CFB2467"/>
    <w:rsid w:val="6D152E69"/>
    <w:rsid w:val="6D194538"/>
    <w:rsid w:val="6D1D61EF"/>
    <w:rsid w:val="6D2079CB"/>
    <w:rsid w:val="6D544B7F"/>
    <w:rsid w:val="6D816277"/>
    <w:rsid w:val="6DEF2023"/>
    <w:rsid w:val="6DEF7365"/>
    <w:rsid w:val="6E35746E"/>
    <w:rsid w:val="6E3D4575"/>
    <w:rsid w:val="6E453429"/>
    <w:rsid w:val="6EA80571"/>
    <w:rsid w:val="6EBA75AC"/>
    <w:rsid w:val="6EC87C38"/>
    <w:rsid w:val="6ED4312D"/>
    <w:rsid w:val="6EE427A6"/>
    <w:rsid w:val="6F0F3CD9"/>
    <w:rsid w:val="6F77631E"/>
    <w:rsid w:val="6F982664"/>
    <w:rsid w:val="6FF743F8"/>
    <w:rsid w:val="701D465E"/>
    <w:rsid w:val="705F07D2"/>
    <w:rsid w:val="709D36CF"/>
    <w:rsid w:val="70B34FC2"/>
    <w:rsid w:val="70ED3970"/>
    <w:rsid w:val="715D0954"/>
    <w:rsid w:val="71754026"/>
    <w:rsid w:val="71CE6551"/>
    <w:rsid w:val="7209646A"/>
    <w:rsid w:val="720E25EB"/>
    <w:rsid w:val="720F447A"/>
    <w:rsid w:val="72914E8F"/>
    <w:rsid w:val="72D73220"/>
    <w:rsid w:val="72E50822"/>
    <w:rsid w:val="72F903BB"/>
    <w:rsid w:val="732628C0"/>
    <w:rsid w:val="735A4F51"/>
    <w:rsid w:val="736E3496"/>
    <w:rsid w:val="736F7856"/>
    <w:rsid w:val="73703B87"/>
    <w:rsid w:val="737F73DD"/>
    <w:rsid w:val="738B271B"/>
    <w:rsid w:val="73F43927"/>
    <w:rsid w:val="73F519F4"/>
    <w:rsid w:val="73FA09CF"/>
    <w:rsid w:val="74006A63"/>
    <w:rsid w:val="74610A15"/>
    <w:rsid w:val="747A7072"/>
    <w:rsid w:val="74BD01BD"/>
    <w:rsid w:val="74BD1F6B"/>
    <w:rsid w:val="75116700"/>
    <w:rsid w:val="7521699E"/>
    <w:rsid w:val="7544144E"/>
    <w:rsid w:val="75B10AFB"/>
    <w:rsid w:val="75DD1168"/>
    <w:rsid w:val="75F27239"/>
    <w:rsid w:val="76045FBA"/>
    <w:rsid w:val="760B6D06"/>
    <w:rsid w:val="7610256F"/>
    <w:rsid w:val="761214D1"/>
    <w:rsid w:val="762A7AD4"/>
    <w:rsid w:val="7634298B"/>
    <w:rsid w:val="76740D50"/>
    <w:rsid w:val="7689698F"/>
    <w:rsid w:val="770025E3"/>
    <w:rsid w:val="770D4B5B"/>
    <w:rsid w:val="770E4D00"/>
    <w:rsid w:val="77642B72"/>
    <w:rsid w:val="778D7AB3"/>
    <w:rsid w:val="77A32884"/>
    <w:rsid w:val="77F959B0"/>
    <w:rsid w:val="783536B7"/>
    <w:rsid w:val="784A7FBA"/>
    <w:rsid w:val="787E71C8"/>
    <w:rsid w:val="789305F3"/>
    <w:rsid w:val="78B74F24"/>
    <w:rsid w:val="78BD7ADD"/>
    <w:rsid w:val="78C733B9"/>
    <w:rsid w:val="78D80C95"/>
    <w:rsid w:val="78EA70A7"/>
    <w:rsid w:val="79594D3D"/>
    <w:rsid w:val="7981768C"/>
    <w:rsid w:val="79864A60"/>
    <w:rsid w:val="79B316B5"/>
    <w:rsid w:val="79BA4B0F"/>
    <w:rsid w:val="79ED0505"/>
    <w:rsid w:val="7A050473"/>
    <w:rsid w:val="7A1A020F"/>
    <w:rsid w:val="7A2E4BCF"/>
    <w:rsid w:val="7A3C5C03"/>
    <w:rsid w:val="7A5077B2"/>
    <w:rsid w:val="7A5C5D83"/>
    <w:rsid w:val="7A776F74"/>
    <w:rsid w:val="7AB629B7"/>
    <w:rsid w:val="7B30793B"/>
    <w:rsid w:val="7B4909FD"/>
    <w:rsid w:val="7B6F3AFC"/>
    <w:rsid w:val="7BF36D58"/>
    <w:rsid w:val="7BF5229F"/>
    <w:rsid w:val="7BFC03DE"/>
    <w:rsid w:val="7C474B72"/>
    <w:rsid w:val="7C5B4419"/>
    <w:rsid w:val="7C6C6F96"/>
    <w:rsid w:val="7C7C250E"/>
    <w:rsid w:val="7CB579CC"/>
    <w:rsid w:val="7CB93960"/>
    <w:rsid w:val="7CE3278B"/>
    <w:rsid w:val="7D5B41D7"/>
    <w:rsid w:val="7D621A6B"/>
    <w:rsid w:val="7D712986"/>
    <w:rsid w:val="7D7B6C6B"/>
    <w:rsid w:val="7D8A5FD1"/>
    <w:rsid w:val="7D9B53AE"/>
    <w:rsid w:val="7DA939D5"/>
    <w:rsid w:val="7DC126C7"/>
    <w:rsid w:val="7E072E80"/>
    <w:rsid w:val="7E1F3C97"/>
    <w:rsid w:val="7E407BE8"/>
    <w:rsid w:val="7E614103"/>
    <w:rsid w:val="7E6A111C"/>
    <w:rsid w:val="7EB937A4"/>
    <w:rsid w:val="7EF70770"/>
    <w:rsid w:val="7F2A47FF"/>
    <w:rsid w:val="7F33789D"/>
    <w:rsid w:val="7F9B373F"/>
    <w:rsid w:val="7FAA51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3"/>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5"/>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beforeLines="50"/>
    </w:pPr>
    <w:rPr>
      <w:rFonts w:ascii="宋体" w:hAnsi="宋体"/>
      <w:szCs w:val="20"/>
    </w:rPr>
  </w:style>
  <w:style w:type="paragraph" w:styleId="13">
    <w:name w:val="Body Text"/>
    <w:basedOn w:val="1"/>
    <w:qFormat/>
    <w:uiPriority w:val="0"/>
    <w:pPr>
      <w:spacing w:after="12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3"/>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Title"/>
    <w:basedOn w:val="1"/>
    <w:next w:val="1"/>
    <w:qFormat/>
    <w:uiPriority w:val="0"/>
    <w:pPr>
      <w:tabs>
        <w:tab w:val="left" w:pos="720"/>
      </w:tabs>
      <w:ind w:left="720" w:hanging="720"/>
      <w:jc w:val="center"/>
    </w:pPr>
    <w:rPr>
      <w:rFonts w:eastAsia="黑体"/>
      <w:sz w:val="32"/>
    </w:rPr>
  </w:style>
  <w:style w:type="paragraph" w:styleId="23">
    <w:name w:val="Body Text First Indent"/>
    <w:basedOn w:val="13"/>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basedOn w:val="26"/>
    <w:qFormat/>
    <w:uiPriority w:val="0"/>
    <w:rPr>
      <w:color w:val="0000FF"/>
      <w:u w:val="single"/>
    </w:rPr>
  </w:style>
  <w:style w:type="character" w:styleId="29">
    <w:name w:val="annotation reference"/>
    <w:qFormat/>
    <w:uiPriority w:val="0"/>
    <w:rPr>
      <w:sz w:val="21"/>
      <w:szCs w:val="21"/>
    </w:rPr>
  </w:style>
  <w:style w:type="character" w:styleId="30">
    <w:name w:val="footnote reference"/>
    <w:qFormat/>
    <w:uiPriority w:val="0"/>
    <w:rPr>
      <w:vertAlign w:val="superscript"/>
    </w:rPr>
  </w:style>
  <w:style w:type="paragraph" w:customStyle="1" w:styleId="3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2">
    <w:name w:val="表格"/>
    <w:basedOn w:val="1"/>
    <w:qFormat/>
    <w:uiPriority w:val="0"/>
    <w:pPr>
      <w:textAlignment w:val="center"/>
    </w:pPr>
    <w:rPr>
      <w:rFonts w:ascii="华文细黑" w:hAnsi="华文细黑"/>
      <w:kern w:val="0"/>
      <w:szCs w:val="20"/>
    </w:rPr>
  </w:style>
  <w:style w:type="paragraph" w:customStyle="1" w:styleId="33">
    <w:name w:val="正文 题目"/>
    <w:basedOn w:val="1"/>
    <w:qFormat/>
    <w:uiPriority w:val="0"/>
    <w:pPr>
      <w:jc w:val="center"/>
    </w:pPr>
    <w:rPr>
      <w:rFonts w:ascii="黑体" w:hAnsi="黑体" w:eastAsia="黑体"/>
      <w:sz w:val="28"/>
    </w:rPr>
  </w:style>
  <w:style w:type="paragraph" w:customStyle="1" w:styleId="34">
    <w:name w:val="列出段落1"/>
    <w:basedOn w:val="1"/>
    <w:qFormat/>
    <w:uiPriority w:val="99"/>
    <w:rPr>
      <w:rFonts w:ascii="Times New Roman" w:hAnsi="Times New Roman"/>
    </w:rPr>
  </w:style>
  <w:style w:type="character" w:customStyle="1" w:styleId="35">
    <w:name w:val="标题 2 字符"/>
    <w:link w:val="6"/>
    <w:qFormat/>
    <w:uiPriority w:val="0"/>
    <w:rPr>
      <w:rFonts w:ascii="Arial" w:hAnsi="Arial"/>
      <w:b/>
      <w:bCs/>
      <w:sz w:val="28"/>
      <w:szCs w:val="32"/>
    </w:rPr>
  </w:style>
  <w:style w:type="paragraph" w:customStyle="1" w:styleId="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7">
    <w:name w:val="WPSOffice手动目录 1"/>
    <w:qFormat/>
    <w:uiPriority w:val="0"/>
    <w:rPr>
      <w:rFonts w:asciiTheme="minorHAnsi" w:hAnsiTheme="minorHAnsi" w:eastAsiaTheme="minorEastAsia" w:cstheme="minorBidi"/>
      <w:lang w:val="en-US" w:eastAsia="zh-CN" w:bidi="ar-SA"/>
    </w:rPr>
  </w:style>
  <w:style w:type="paragraph" w:customStyle="1" w:styleId="38">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9">
    <w:name w:val="font21"/>
    <w:basedOn w:val="26"/>
    <w:qFormat/>
    <w:uiPriority w:val="0"/>
    <w:rPr>
      <w:rFonts w:hint="eastAsia" w:ascii="宋体" w:hAnsi="宋体" w:eastAsia="宋体" w:cs="宋体"/>
      <w:color w:val="000000"/>
      <w:sz w:val="24"/>
      <w:szCs w:val="24"/>
      <w:u w:val="none"/>
    </w:rPr>
  </w:style>
  <w:style w:type="character" w:customStyle="1" w:styleId="40">
    <w:name w:val="font01"/>
    <w:basedOn w:val="26"/>
    <w:qFormat/>
    <w:uiPriority w:val="0"/>
    <w:rPr>
      <w:rFonts w:hint="default" w:ascii="Times New Roman" w:hAnsi="Times New Roman" w:cs="Times New Roman"/>
      <w:color w:val="000000"/>
      <w:sz w:val="24"/>
      <w:szCs w:val="24"/>
      <w:u w:val="none"/>
    </w:rPr>
  </w:style>
  <w:style w:type="character" w:customStyle="1" w:styleId="41">
    <w:name w:val="font11"/>
    <w:basedOn w:val="26"/>
    <w:qFormat/>
    <w:uiPriority w:val="0"/>
    <w:rPr>
      <w:rFonts w:hint="default" w:ascii="Times New Roman" w:hAnsi="Times New Roman" w:cs="Times New Roman"/>
      <w:color w:val="000000"/>
      <w:sz w:val="20"/>
      <w:szCs w:val="20"/>
      <w:u w:val="none"/>
    </w:rPr>
  </w:style>
  <w:style w:type="character" w:customStyle="1" w:styleId="42">
    <w:name w:val="font31"/>
    <w:basedOn w:val="26"/>
    <w:qFormat/>
    <w:uiPriority w:val="0"/>
    <w:rPr>
      <w:rFonts w:hint="eastAsia" w:ascii="宋体" w:hAnsi="宋体" w:eastAsia="宋体" w:cs="宋体"/>
      <w:color w:val="000000"/>
      <w:sz w:val="20"/>
      <w:szCs w:val="20"/>
      <w:u w:val="none"/>
    </w:rPr>
  </w:style>
  <w:style w:type="character" w:customStyle="1" w:styleId="43">
    <w:name w:val="标题 1 字符"/>
    <w:link w:val="5"/>
    <w:qFormat/>
    <w:uiPriority w:val="0"/>
    <w:rPr>
      <w:rFonts w:eastAsia="微软雅黑"/>
      <w:b/>
      <w:bCs/>
      <w:kern w:val="44"/>
      <w:sz w:val="36"/>
      <w:szCs w:val="44"/>
    </w:rPr>
  </w:style>
  <w:style w:type="paragraph" w:customStyle="1" w:styleId="44">
    <w:name w:val="Table Paragraph"/>
    <w:basedOn w:val="1"/>
    <w:qFormat/>
    <w:uiPriority w:val="99"/>
  </w:style>
  <w:style w:type="paragraph" w:customStyle="1" w:styleId="45">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46">
    <w:name w:val="font41"/>
    <w:basedOn w:val="26"/>
    <w:qFormat/>
    <w:uiPriority w:val="0"/>
    <w:rPr>
      <w:rFonts w:ascii="Calibri" w:hAnsi="Calibri" w:cs="Calibri"/>
      <w:color w:val="000000"/>
      <w:sz w:val="24"/>
      <w:szCs w:val="24"/>
      <w:u w:val="none"/>
    </w:rPr>
  </w:style>
  <w:style w:type="paragraph" w:customStyle="1" w:styleId="47">
    <w:name w:val="Body text|1"/>
    <w:basedOn w:val="1"/>
    <w:qFormat/>
    <w:uiPriority w:val="0"/>
    <w:pPr>
      <w:spacing w:line="480" w:lineRule="auto"/>
      <w:ind w:firstLine="400"/>
    </w:pPr>
    <w:rPr>
      <w:rFonts w:ascii="宋体" w:hAnsi="宋体" w:eastAsia="宋体" w:cs="宋体"/>
      <w:sz w:val="19"/>
      <w:szCs w:val="19"/>
      <w:lang w:val="zh-TW" w:eastAsia="zh-TW" w:bidi="zh-TW"/>
    </w:rPr>
  </w:style>
  <w:style w:type="paragraph" w:customStyle="1" w:styleId="48">
    <w:name w:val="Heading #1|1"/>
    <w:basedOn w:val="1"/>
    <w:qFormat/>
    <w:uiPriority w:val="0"/>
    <w:pPr>
      <w:spacing w:before="200"/>
      <w:jc w:val="center"/>
      <w:outlineLvl w:val="0"/>
    </w:pPr>
    <w:rPr>
      <w:rFonts w:ascii="宋体" w:hAnsi="宋体" w:eastAsia="宋体" w:cs="宋体"/>
      <w:sz w:val="42"/>
      <w:szCs w:val="42"/>
      <w:lang w:val="zh-TW" w:eastAsia="zh-TW" w:bidi="zh-TW"/>
    </w:rPr>
  </w:style>
  <w:style w:type="paragraph" w:customStyle="1" w:styleId="49">
    <w:name w:val="Body text|4"/>
    <w:basedOn w:val="1"/>
    <w:qFormat/>
    <w:uiPriority w:val="0"/>
    <w:pPr>
      <w:spacing w:after="160"/>
    </w:pPr>
    <w:rPr>
      <w:sz w:val="26"/>
      <w:szCs w:val="26"/>
      <w:lang w:val="zh-TW" w:eastAsia="zh-TW" w:bidi="zh-TW"/>
    </w:rPr>
  </w:style>
  <w:style w:type="paragraph" w:customStyle="1" w:styleId="50">
    <w:name w:val="Picture caption|1"/>
    <w:basedOn w:val="1"/>
    <w:qFormat/>
    <w:uiPriority w:val="0"/>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13642</Words>
  <Characters>14266</Characters>
  <Lines>176</Lines>
  <Paragraphs>49</Paragraphs>
  <TotalTime>49</TotalTime>
  <ScaleCrop>false</ScaleCrop>
  <LinksUpToDate>false</LinksUpToDate>
  <CharactersWithSpaces>16754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2020-10-09T14:52:00Z</dcterms:created>
  <dc:creator>huajie</dc:creator>
  <cp:lastModifiedBy>我爱芃芃</cp:lastModifiedBy>
  <cp:lastPrinted>2022-11-23T02:29:00Z</cp:lastPrinted>
  <dcterms:modified xsi:type="dcterms:W3CDTF">2022-12-12T03:43:20Z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719D7373C7BE464F8F067C9C582332AE</vt:lpwstr>
  </property>
</Properties>
</file>